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77C22" w14:textId="77777777" w:rsidR="00CF3741" w:rsidRDefault="00CF3741" w:rsidP="00CF3741">
      <w:pPr>
        <w:pStyle w:val="BodyText"/>
        <w:ind w:left="360"/>
        <w:jc w:val="center"/>
        <w:rPr>
          <w:rFonts w:asciiTheme="majorBidi" w:hAnsiTheme="majorBidi" w:cstheme="majorBidi"/>
          <w:b/>
          <w:bCs/>
          <w:sz w:val="30"/>
          <w:szCs w:val="30"/>
        </w:rPr>
      </w:pPr>
      <w:r>
        <w:rPr>
          <w:noProof/>
        </w:rPr>
        <w:drawing>
          <wp:anchor distT="0" distB="0" distL="114300" distR="114300" simplePos="0" relativeHeight="251659264" behindDoc="1" locked="0" layoutInCell="1" allowOverlap="1" wp14:anchorId="360074C4" wp14:editId="72DFC2B4">
            <wp:simplePos x="0" y="0"/>
            <wp:positionH relativeFrom="column">
              <wp:posOffset>-352425</wp:posOffset>
            </wp:positionH>
            <wp:positionV relativeFrom="paragraph">
              <wp:posOffset>-285750</wp:posOffset>
            </wp:positionV>
            <wp:extent cx="647700" cy="715645"/>
            <wp:effectExtent l="0" t="0" r="0" b="8255"/>
            <wp:wrapNone/>
            <wp:docPr id="1" name="Picture 1" descr="01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0101"/>
                    <pic:cNvPicPr>
                      <a:picLocks noChangeAspect="1" noChangeArrowheads="1"/>
                    </pic:cNvPicPr>
                  </pic:nvPicPr>
                  <pic:blipFill>
                    <a:blip r:embed="rId7" cstate="print">
                      <a:extLst>
                        <a:ext uri="{28A0092B-C50C-407E-A947-70E740481C1C}">
                          <a14:useLocalDpi xmlns:a14="http://schemas.microsoft.com/office/drawing/2010/main" val="0"/>
                        </a:ext>
                      </a:extLst>
                    </a:blip>
                    <a:srcRect l="10603" t="8247" r="11714" b="9404"/>
                    <a:stretch>
                      <a:fillRect/>
                    </a:stretch>
                  </pic:blipFill>
                  <pic:spPr bwMode="auto">
                    <a:xfrm>
                      <a:off x="0" y="0"/>
                      <a:ext cx="647700" cy="71564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sz w:val="30"/>
          <w:szCs w:val="30"/>
        </w:rPr>
        <w:t>Nigerian Journal of Pharmaceutical and Biomedical Research</w:t>
      </w:r>
    </w:p>
    <w:p w14:paraId="5111F86C" w14:textId="4ACDA49B" w:rsidR="00CF3741" w:rsidRDefault="00CF3741" w:rsidP="00BE2D0C">
      <w:pPr>
        <w:ind w:left="360"/>
        <w:jc w:val="center"/>
        <w:rPr>
          <w:b/>
          <w:bCs/>
        </w:rPr>
      </w:pPr>
      <w:r>
        <w:rPr>
          <w:noProof/>
        </w:rPr>
        <mc:AlternateContent>
          <mc:Choice Requires="wps">
            <w:drawing>
              <wp:anchor distT="0" distB="0" distL="114300" distR="114300" simplePos="0" relativeHeight="251660288" behindDoc="0" locked="0" layoutInCell="1" allowOverlap="1" wp14:anchorId="0589C44B" wp14:editId="113C2493">
                <wp:simplePos x="0" y="0"/>
                <wp:positionH relativeFrom="column">
                  <wp:posOffset>-257175</wp:posOffset>
                </wp:positionH>
                <wp:positionV relativeFrom="paragraph">
                  <wp:posOffset>223520</wp:posOffset>
                </wp:positionV>
                <wp:extent cx="6429375" cy="0"/>
                <wp:effectExtent l="0" t="19050" r="28575" b="19050"/>
                <wp:wrapNone/>
                <wp:docPr id="551" name="Straight Connector 551"/>
                <wp:cNvGraphicFramePr/>
                <a:graphic xmlns:a="http://schemas.openxmlformats.org/drawingml/2006/main">
                  <a:graphicData uri="http://schemas.microsoft.com/office/word/2010/wordprocessingShape">
                    <wps:wsp>
                      <wps:cNvCnPr/>
                      <wps:spPr>
                        <a:xfrm flipV="1">
                          <a:off x="0" y="0"/>
                          <a:ext cx="64293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BC9A4F6" id="Straight Connector 55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0.25pt,17.6pt" to="486pt,17.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77X44wEAABsEAAAOAAAAZHJzL2Uyb0RvYy54bWysU01vEzEQvSPxHyzfySaBlHaVTQ+pygVB REvvrnecteQvjU128+8Ze5NNC1xAXCyPPe/NvOfx+nawhh0Ao/au4YvZnDNw0rfa7Rv+/fH+3TVn MQnXCuMdNPwIkd9u3r5Z96GGpe+8aQEZkbhY96HhXUqhrqooO7AiznwAR5fKoxWJQtxXLYqe2K2p lvP5VdV7bAN6CTHS6d14yTeFXymQ6atSERIzDafeUlmxrM95rTZrUe9RhE7LUxviH7qwQjsqOlHd iSTYD9S/UVkt0Uev0kx6W3mltISigdQs5r+oeehEgKKFzIlhsin+P1r55bBDptuGr1YLzpyw9EgP CYXed4ltvXNkoUeWb8mrPsSaIFu3w1MUww6z8EGhZcro8ERjUKwgcWwoTh8np2FITNLh1YflzfuP K87k+a4aKTJVwJg+gbcsbxputMsmiFocPsdEZSn1nJKPjWN9w5fXK+LLcfRGt/famBLkQYKtQXYQ NAJpKDKI4UUWRcYRbRY3yim7dDQw8n8DRRZR26OwMpwXTiEluHTmNY6yM0xRBxNwPnb2upnXwFN+ hkIZ3L8BT4hS2bs0ga12Hv9U/WKFGvPPDoy6swXPvj2Why7W0AQW70+/JY/4y7jAL3968xMAAP// AwBQSwMEFAAGAAgAAAAhANmK9lTgAAAACQEAAA8AAABkcnMvZG93bnJldi54bWxMj8tOwzAQRfdI /IM1SGyq1kkgPEKcqkKKVFUsoPQDnHhIIuJxGrtt+PsOYlGWM3N059x8OdleHHH0nSMF8SICgVQ7 01GjYPdZzp9A+KDJ6N4RKvhBD8vi+irXmXEn+sDjNjSCQ8hnWkEbwpBJ6esWrfYLNyDx7cuNVgce x0aaUZ843PYyiaIHaXVH/KHVA762WH9vD1bBbJ+WZbWO33Yzs19RH2/Wm3et1O3NtHoBEXAKFxh+ 9VkdCnaq3IGMF72C+X2UMqrgLk1AMPD8mHC56m8hi1z+b1CcAQAA//8DAFBLAQItABQABgAIAAAA IQC2gziS/gAAAOEBAAATAAAAAAAAAAAAAAAAAAAAAABbQ29udGVudF9UeXBlc10ueG1sUEsBAi0A FAAGAAgAAAAhADj9If/WAAAAlAEAAAsAAAAAAAAAAAAAAAAALwEAAF9yZWxzLy5yZWxzUEsBAi0A FAAGAAgAAAAhAFrvtfjjAQAAGwQAAA4AAAAAAAAAAAAAAAAALgIAAGRycy9lMm9Eb2MueG1sUEsB Ai0AFAAGAAgAAAAhANmK9lTgAAAACQEAAA8AAAAAAAAAAAAAAAAAPQQAAGRycy9kb3ducmV2Lnht bFBLBQYAAAAABAAEAPMAAABKBQAAAAA= " strokecolor="black [3213]" strokeweight="2.25pt"/>
            </w:pict>
          </mc:Fallback>
        </mc:AlternateContent>
      </w:r>
      <w:r>
        <w:rPr>
          <w:rFonts w:asciiTheme="majorBidi" w:hAnsiTheme="majorBidi" w:cstheme="majorBidi"/>
          <w:b/>
          <w:bCs/>
        </w:rPr>
        <w:t>Vol. 10 Issue.1 April, 2026. p-ISSN: 2579-1419  e-ISSN: 2814-1423</w:t>
      </w:r>
    </w:p>
    <w:p w14:paraId="442EB0C0" w14:textId="77777777" w:rsidR="00023120" w:rsidRPr="00CF3741" w:rsidRDefault="00317DC3" w:rsidP="00CF3741">
      <w:pPr>
        <w:pBdr>
          <w:top w:val="nil"/>
          <w:left w:val="nil"/>
          <w:bottom w:val="nil"/>
          <w:right w:val="nil"/>
          <w:between w:val="nil"/>
        </w:pBdr>
        <w:spacing w:before="240" w:after="0" w:line="276" w:lineRule="auto"/>
        <w:jc w:val="center"/>
        <w:rPr>
          <w:rFonts w:ascii="Times New Roman" w:eastAsia="Times New Roman" w:hAnsi="Times New Roman" w:cs="Times New Roman"/>
          <w:b/>
          <w:bCs/>
          <w:color w:val="000000"/>
          <w:sz w:val="24"/>
        </w:rPr>
      </w:pPr>
      <w:r>
        <w:rPr>
          <w:rFonts w:ascii="Times New Roman" w:eastAsia="Times New Roman" w:hAnsi="Times New Roman" w:cs="Times New Roman"/>
          <w:b/>
          <w:bCs/>
          <w:color w:val="000000"/>
          <w:sz w:val="24"/>
        </w:rPr>
        <w:t xml:space="preserve">DOSE-DEPENDENT DUAL EFFECTS OF </w:t>
      </w:r>
      <w:r>
        <w:rPr>
          <w:rFonts w:ascii="Times New Roman" w:eastAsia="Times New Roman" w:hAnsi="Times New Roman" w:cs="Times New Roman"/>
          <w:b/>
          <w:bCs/>
          <w:i/>
          <w:iCs/>
          <w:color w:val="000000"/>
          <w:sz w:val="24"/>
        </w:rPr>
        <w:t>DATURA STRAMONIUM</w:t>
      </w:r>
      <w:r>
        <w:rPr>
          <w:rFonts w:ascii="Times New Roman" w:eastAsia="Times New Roman" w:hAnsi="Times New Roman" w:cs="Times New Roman"/>
          <w:b/>
          <w:bCs/>
          <w:color w:val="000000"/>
          <w:sz w:val="24"/>
        </w:rPr>
        <w:t xml:space="preserve"> ON CADMIUM-INDUCED CEREBRAL CORTEX NEUROTOXICITY IN ADULT MALE WISTAR RATS</w:t>
      </w:r>
    </w:p>
    <w:p w14:paraId="4E3F8540" w14:textId="77777777" w:rsidR="00023120" w:rsidRPr="00CF3741" w:rsidRDefault="00317DC3" w:rsidP="00BE2D0C">
      <w:pPr>
        <w:pBdr>
          <w:top w:val="nil"/>
          <w:left w:val="nil"/>
          <w:bottom w:val="nil"/>
          <w:right w:val="nil"/>
          <w:between w:val="nil"/>
        </w:pBdr>
        <w:spacing w:after="0" w:line="480" w:lineRule="auto"/>
        <w:jc w:val="center"/>
        <w:rPr>
          <w:rFonts w:ascii="Times New Roman" w:eastAsia="Times New Roman" w:hAnsi="Times New Roman" w:cs="Times New Roman"/>
          <w:b/>
          <w:bCs/>
          <w:color w:val="000000"/>
          <w:sz w:val="24"/>
        </w:rPr>
      </w:pPr>
      <w:r>
        <w:rPr>
          <w:rFonts w:ascii="Times New Roman" w:eastAsia="Times New Roman" w:hAnsi="Times New Roman" w:cs="Times New Roman"/>
          <w:b/>
          <w:bCs/>
          <w:i/>
          <w:iCs/>
          <w:color w:val="000000"/>
          <w:sz w:val="24"/>
        </w:rPr>
        <w:t>Oluwakemi A. Oladunjoye¹, Olumide N. Arowolo¹, Obed O. Apochi²</w:t>
      </w:r>
    </w:p>
    <w:p w14:paraId="5572B085" w14:textId="7776A646" w:rsidR="00023120" w:rsidRDefault="00317DC3" w:rsidP="00BE2D0C">
      <w:pPr>
        <w:pBdr>
          <w:top w:val="nil"/>
          <w:left w:val="nil"/>
          <w:bottom w:val="nil"/>
          <w:right w:val="nil"/>
          <w:between w:val="nil"/>
        </w:pBdr>
        <w:spacing w:after="0" w:line="276" w:lineRule="auto"/>
        <w:jc w:val="center"/>
        <w:rPr>
          <w:rFonts w:ascii="Times New Roman" w:eastAsia="Times New Roman" w:hAnsi="Times New Roman" w:cs="Times New Roman"/>
          <w:color w:val="000000"/>
          <w:sz w:val="24"/>
        </w:rPr>
      </w:pPr>
      <w:r>
        <w:rPr>
          <w:rFonts w:ascii="Times New Roman" w:eastAsia="Times New Roman" w:hAnsi="Times New Roman" w:cs="Times New Roman"/>
          <w:b/>
          <w:bCs/>
          <w:color w:val="000000"/>
          <w:sz w:val="24"/>
        </w:rPr>
        <w:t xml:space="preserve">¹ Department of Anatomy, </w:t>
      </w:r>
      <w:r>
        <w:rPr>
          <w:rFonts w:ascii="Times New Roman" w:eastAsia="Times New Roman" w:hAnsi="Times New Roman" w:cs="Times New Roman"/>
          <w:color w:val="000000"/>
          <w:sz w:val="24"/>
        </w:rPr>
        <w:t>Ekiti State University,Ado-Ekiti, Ekiti State, Nigeria</w:t>
      </w:r>
    </w:p>
    <w:p w14:paraId="2BEAC5A5" w14:textId="5882ADC5" w:rsidR="00023120" w:rsidRDefault="00317DC3" w:rsidP="00BE2D0C">
      <w:pPr>
        <w:pBdr>
          <w:top w:val="nil"/>
          <w:left w:val="nil"/>
          <w:bottom w:val="nil"/>
          <w:right w:val="nil"/>
          <w:between w:val="nil"/>
        </w:pBdr>
        <w:spacing w:after="0" w:line="276" w:lineRule="auto"/>
        <w:jc w:val="center"/>
        <w:rPr>
          <w:rFonts w:ascii="Times New Roman" w:eastAsia="Times New Roman" w:hAnsi="Times New Roman" w:cs="Times New Roman"/>
          <w:color w:val="000000"/>
          <w:sz w:val="24"/>
        </w:rPr>
      </w:pPr>
      <w:r>
        <w:rPr>
          <w:rFonts w:ascii="Times New Roman" w:eastAsia="Times New Roman" w:hAnsi="Times New Roman" w:cs="Times New Roman"/>
          <w:b/>
          <w:bCs/>
          <w:color w:val="000000"/>
          <w:sz w:val="24"/>
        </w:rPr>
        <w:t xml:space="preserve">² Department of Neuropsychology, </w:t>
      </w:r>
      <w:r>
        <w:rPr>
          <w:rFonts w:ascii="Times New Roman" w:eastAsia="Times New Roman" w:hAnsi="Times New Roman" w:cs="Times New Roman"/>
          <w:color w:val="000000"/>
          <w:sz w:val="24"/>
        </w:rPr>
        <w:t>International Graduate School of Neuroscience</w:t>
      </w:r>
      <w:r>
        <w:rPr>
          <w:rFonts w:ascii="Times New Roman" w:eastAsia="Times New Roman" w:hAnsi="Times New Roman" w:cs="Times New Roman"/>
          <w:color w:val="000000"/>
          <w:sz w:val="24"/>
        </w:rPr>
        <w:br/>
        <w:t>Ruhr University Bochum,Bochum, Germany</w:t>
      </w:r>
    </w:p>
    <w:p w14:paraId="4CA0844D" w14:textId="568CC670" w:rsidR="00CF3741" w:rsidRDefault="00317DC3" w:rsidP="00CF3741">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4"/>
        </w:rPr>
      </w:pPr>
      <w:r>
        <w:rPr>
          <w:rFonts w:ascii="Times New Roman" w:eastAsia="Times New Roman" w:hAnsi="Times New Roman" w:cs="Times New Roman"/>
          <w:b/>
          <w:bCs/>
          <w:color w:val="000000"/>
          <w:sz w:val="24"/>
        </w:rPr>
        <w:t>Corresponding Author</w:t>
      </w:r>
    </w:p>
    <w:p w14:paraId="0C4278E2" w14:textId="1718E09B" w:rsidR="00023120" w:rsidRDefault="00BE2D0C" w:rsidP="00CF3741">
      <w:pPr>
        <w:pBdr>
          <w:top w:val="nil"/>
          <w:left w:val="nil"/>
          <w:bottom w:val="nil"/>
          <w:right w:val="nil"/>
          <w:between w:val="nil"/>
        </w:pBdr>
        <w:spacing w:after="0" w:line="480" w:lineRule="auto"/>
        <w:jc w:val="center"/>
        <w:rPr>
          <w:rFonts w:ascii="Times New Roman" w:eastAsia="Times New Roman" w:hAnsi="Times New Roman" w:cs="Times New Roman"/>
          <w:color w:val="000000"/>
          <w:sz w:val="24"/>
        </w:rPr>
      </w:pPr>
      <w:r>
        <w:rPr>
          <w:noProof/>
        </w:rPr>
        <mc:AlternateContent>
          <mc:Choice Requires="wps">
            <w:drawing>
              <wp:anchor distT="0" distB="0" distL="114300" distR="114300" simplePos="0" relativeHeight="251662336" behindDoc="0" locked="0" layoutInCell="1" allowOverlap="1" wp14:anchorId="070BCBDC" wp14:editId="5161FFF7">
                <wp:simplePos x="0" y="0"/>
                <wp:positionH relativeFrom="margin">
                  <wp:posOffset>-363220</wp:posOffset>
                </wp:positionH>
                <wp:positionV relativeFrom="paragraph">
                  <wp:posOffset>247650</wp:posOffset>
                </wp:positionV>
                <wp:extent cx="64293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flipV="1">
                          <a:off x="0" y="0"/>
                          <a:ext cx="64293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CD7CB46" id="Straight Connector 2"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 from="-28.6pt,19.5pt" to="477.65pt,1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k9L24gEAABcEAAAOAAAAZHJzL2Uyb0RvYy54bWysU8FuEzEQvSPxD5bvZDcLLWWVTQ+pygVB RAt312tnLdkea2yyyd8z9iabFriAuFgee+bNe8/j1e3BWbZXGA34ji8XNWfKS+iN33X82+P9mxvO YhK+Fxa86vhRRX67fv1qNYZWNTCA7RUyAvGxHUPHh5RCW1VRDsqJuICgPF1qQCcShbirehQjoTtb NXV9XY2AfUCQKkY6vZsu+brga61k+qJ1VInZjhO3VFYs61Neq/VKtDsUYTDyREP8AwsnjKemM9Sd SIL9QPMblDMSIYJOCwmuAq2NVEUDqVnWv6h5GERQRQuZE8NsU/x/sPLzfovM9B1vOPPC0RM9JBRm NyS2Ae/JQEDWZJ/GEFtK3/gtnqIYtphFHzQ6pq0J32kEig0kjB2Ky8fZZXVITNLh9bvmw9v3V5zJ 8101QWSogDF9VOBY3nTcGp8NEK3Yf4qJ2lLqOSUfW89Gon5zRXg5jmBNf2+sLUEeIrWxyPaCnj8d llkGITzLosh6OsziJjlll45WTfhflSZ7iPYkrAzmBVNIqXw641pP2blME4O5sJ6YvSTzsvCUn0tV Gdq/KZ4rSmfwaS52xgP+qfvFCj3lnx2YdGcLnqA/locu1tD0FedOPyWP9/O4lF/+8/onAAAA//8D AFBLAwQUAAYACAAAACEAam6StN8AAAAJAQAADwAAAGRycy9kb3ducmV2LnhtbEyPwU7CQBCG7ya+ w2ZMvBDYFlKF2i0hJk0I8YDIA0y7S9vYnS3dBerbO8aDHmfmyz/fn61H24mrGXzrSEE8i0AYqpxu qVZw/CimSxA+IGnsHBkFX8bDOr+/yzDV7kbv5noIteAQ8ikqaELoUyl91RiLfuZ6Q3w7ucFi4HGo pR7wxuG2k/MoepIWW+IPDfbmtTHV5+FiFUzOSVGU2/jtONHnDXXxbrvbo1KPD+PmBUQwY/iD4Uef 1SFnp9JdSHvRKZgmz3NGFSxW3ImBVZIsQJS/C5ln8n+D/BsAAP//AwBQSwECLQAUAAYACAAAACEA toM4kv4AAADhAQAAEwAAAAAAAAAAAAAAAAAAAAAAW0NvbnRlbnRfVHlwZXNdLnhtbFBLAQItABQA BgAIAAAAIQA4/SH/1gAAAJQBAAALAAAAAAAAAAAAAAAAAC8BAABfcmVscy8ucmVsc1BLAQItABQA BgAIAAAAIQBHk9L24gEAABcEAAAOAAAAAAAAAAAAAAAAAC4CAABkcnMvZTJvRG9jLnhtbFBLAQIt ABQABgAIAAAAIQBqbpK03wAAAAkBAAAPAAAAAAAAAAAAAAAAADwEAABkcnMvZG93bnJldi54bWxQ SwUGAAAAAAQABADzAAAASAUAAAAA " strokecolor="black [3213]" strokeweight="2.25pt">
                <w10:wrap anchorx="margin"/>
              </v:line>
            </w:pict>
          </mc:Fallback>
        </mc:AlternateContent>
      </w:r>
      <w:r>
        <w:rPr>
          <w:rFonts w:ascii="Times New Roman" w:eastAsia="Times New Roman" w:hAnsi="Times New Roman" w:cs="Times New Roman"/>
          <w:b/>
          <w:bCs/>
          <w:color w:val="000000"/>
          <w:sz w:val="24"/>
        </w:rPr>
        <w:t>Email</w:t>
      </w:r>
      <w:r>
        <w:rPr>
          <w:rFonts w:ascii="Times New Roman" w:eastAsia="Times New Roman" w:hAnsi="Times New Roman" w:cs="Times New Roman"/>
          <w:color w:val="000000"/>
          <w:sz w:val="24"/>
        </w:rPr>
        <w:t xml:space="preserve">: </w:t>
      </w:r>
      <w:hyperlink r:id="rId8" w:history="1">
        <w:r>
          <w:rPr>
            <w:rStyle w:val="Hyperlink"/>
            <w:rFonts w:ascii="Times New Roman" w:eastAsia="Times New Roman" w:hAnsi="Times New Roman" w:cs="Times New Roman"/>
            <w:sz w:val="24"/>
          </w:rPr>
          <w:t>adeolaoladunjoye720@gmail.com</w:t>
        </w:r>
      </w:hyperlink>
      <w:r>
        <w:rPr>
          <w:rFonts w:ascii="Times New Roman" w:eastAsia="Times New Roman" w:hAnsi="Times New Roman" w:cs="Times New Roman"/>
          <w:color w:val="000000"/>
          <w:sz w:val="24"/>
        </w:rPr>
        <w:t>, Phone: +234 8101599956</w:t>
      </w:r>
    </w:p>
    <w:p w14:paraId="39D30F16" w14:textId="77777777" w:rsidR="00023120" w:rsidRDefault="00317DC3" w:rsidP="00BE2D0C">
      <w:pPr>
        <w:pBdr>
          <w:top w:val="nil"/>
          <w:left w:val="nil"/>
          <w:bottom w:val="nil"/>
          <w:right w:val="nil"/>
          <w:between w:val="nil"/>
        </w:pBdr>
        <w:spacing w:after="0" w:line="276" w:lineRule="auto"/>
        <w:jc w:val="left"/>
        <w:rPr>
          <w:rFonts w:ascii="Times New Roman" w:eastAsia="Times New Roman" w:hAnsi="Times New Roman" w:cs="Times New Roman"/>
          <w:color w:val="000000"/>
          <w:sz w:val="24"/>
        </w:rPr>
      </w:pPr>
      <w:r>
        <w:rPr>
          <w:rFonts w:ascii="Times New Roman" w:eastAsia="Times New Roman" w:hAnsi="Times New Roman" w:cs="Times New Roman"/>
          <w:b/>
          <w:bCs/>
          <w:color w:val="000000"/>
          <w:sz w:val="24"/>
        </w:rPr>
        <w:t>ABSTRACT</w:t>
      </w:r>
    </w:p>
    <w:p w14:paraId="70F69C0D" w14:textId="77777777" w:rsidR="00023120" w:rsidRPr="00BE2D0C" w:rsidRDefault="00317DC3" w:rsidP="00BE2D0C">
      <w:pPr>
        <w:pBdr>
          <w:top w:val="nil"/>
          <w:left w:val="nil"/>
          <w:bottom w:val="nil"/>
          <w:right w:val="nil"/>
          <w:between w:val="nil"/>
        </w:pBdr>
        <w:spacing w:after="0" w:line="276" w:lineRule="auto"/>
        <w:rPr>
          <w:rFonts w:ascii="Times New Roman" w:eastAsia="Times New Roman" w:hAnsi="Times New Roman" w:cs="Times New Roman"/>
          <w:i/>
          <w:iCs/>
          <w:color w:val="000000"/>
          <w:sz w:val="24"/>
        </w:rPr>
      </w:pPr>
      <w:r>
        <w:rPr>
          <w:rFonts w:ascii="Times New Roman" w:eastAsia="Times New Roman" w:hAnsi="Times New Roman" w:cs="Times New Roman"/>
          <w:b/>
          <w:bCs/>
          <w:i/>
          <w:iCs/>
          <w:color w:val="000000"/>
          <w:sz w:val="24"/>
        </w:rPr>
        <w:t>Background:</w:t>
      </w:r>
      <w:r>
        <w:rPr>
          <w:rFonts w:ascii="Times New Roman" w:eastAsia="Times New Roman" w:hAnsi="Times New Roman" w:cs="Times New Roman"/>
          <w:i/>
          <w:iCs/>
          <w:color w:val="000000"/>
          <w:sz w:val="24"/>
        </w:rPr>
        <w:t xml:space="preserve"> </w:t>
      </w:r>
      <w:r>
        <w:rPr>
          <w:rFonts w:ascii="Times New Roman" w:eastAsia="Times New Roman" w:hAnsi="Times New Roman" w:cs="Times New Roman"/>
          <w:i/>
          <w:iCs/>
          <w:sz w:val="24"/>
        </w:rPr>
        <w:t xml:space="preserve">Cadmium (Cd) is a well-established environmental neurotoxin associated with oxidative stress and neuronal injury in the cerebral cortex. Datura stramonium contains bioactive tropane alkaloids with reported neuropharmacological activities, but its dose-dependent interaction with Cd-induced neurotoxicity remains unclear. </w:t>
      </w:r>
    </w:p>
    <w:p w14:paraId="3FCD8F7D" w14:textId="77777777" w:rsidR="00023120" w:rsidRPr="00BE2D0C" w:rsidRDefault="00317DC3" w:rsidP="00BE2D0C">
      <w:pPr>
        <w:pBdr>
          <w:top w:val="nil"/>
          <w:left w:val="nil"/>
          <w:bottom w:val="nil"/>
          <w:right w:val="nil"/>
          <w:between w:val="nil"/>
        </w:pBdr>
        <w:spacing w:after="0" w:line="276" w:lineRule="auto"/>
        <w:rPr>
          <w:rFonts w:ascii="Times New Roman" w:eastAsia="Times New Roman" w:hAnsi="Times New Roman" w:cs="Times New Roman"/>
          <w:i/>
          <w:iCs/>
          <w:color w:val="000000"/>
          <w:sz w:val="24"/>
        </w:rPr>
      </w:pPr>
      <w:r>
        <w:rPr>
          <w:rFonts w:ascii="Times New Roman" w:eastAsia="Times New Roman" w:hAnsi="Times New Roman" w:cs="Times New Roman"/>
          <w:b/>
          <w:bCs/>
          <w:i/>
          <w:iCs/>
          <w:color w:val="000000"/>
          <w:sz w:val="24"/>
        </w:rPr>
        <w:t>Objective:</w:t>
      </w:r>
      <w:r>
        <w:rPr>
          <w:rFonts w:ascii="Times New Roman" w:eastAsia="Times New Roman" w:hAnsi="Times New Roman" w:cs="Times New Roman"/>
          <w:i/>
          <w:iCs/>
          <w:color w:val="000000"/>
          <w:sz w:val="24"/>
        </w:rPr>
        <w:t xml:space="preserve"> </w:t>
      </w:r>
      <w:r>
        <w:rPr>
          <w:rFonts w:ascii="Times New Roman" w:eastAsia="Times New Roman" w:hAnsi="Times New Roman" w:cs="Times New Roman"/>
          <w:i/>
          <w:iCs/>
          <w:sz w:val="24"/>
        </w:rPr>
        <w:t xml:space="preserve">This study evaluated the dose-dependent effects of Datura stramonium on Cd-induced cerebral cortical histoarchitecture in adult male Wistar rats. </w:t>
      </w:r>
    </w:p>
    <w:p w14:paraId="4C06967C" w14:textId="77777777" w:rsidR="00023120" w:rsidRPr="00BE2D0C" w:rsidRDefault="00317DC3" w:rsidP="00BE2D0C">
      <w:pPr>
        <w:pBdr>
          <w:top w:val="nil"/>
          <w:left w:val="nil"/>
          <w:bottom w:val="nil"/>
          <w:right w:val="nil"/>
          <w:between w:val="nil"/>
        </w:pBdr>
        <w:spacing w:after="0" w:line="276" w:lineRule="auto"/>
        <w:rPr>
          <w:rFonts w:ascii="Times New Roman" w:eastAsia="Times New Roman" w:hAnsi="Times New Roman" w:cs="Times New Roman"/>
          <w:i/>
          <w:iCs/>
          <w:color w:val="000000"/>
          <w:sz w:val="24"/>
        </w:rPr>
      </w:pPr>
      <w:r>
        <w:rPr>
          <w:rFonts w:ascii="Times New Roman" w:eastAsia="Times New Roman" w:hAnsi="Times New Roman" w:cs="Times New Roman"/>
          <w:b/>
          <w:bCs/>
          <w:i/>
          <w:iCs/>
          <w:color w:val="000000"/>
          <w:sz w:val="24"/>
        </w:rPr>
        <w:t>Methods:</w:t>
      </w:r>
      <w:r>
        <w:rPr>
          <w:rFonts w:ascii="Times New Roman" w:eastAsia="Times New Roman" w:hAnsi="Times New Roman" w:cs="Times New Roman"/>
          <w:i/>
          <w:iCs/>
          <w:color w:val="000000"/>
          <w:sz w:val="24"/>
        </w:rPr>
        <w:t xml:space="preserve"> </w:t>
      </w:r>
      <w:r>
        <w:rPr>
          <w:rFonts w:ascii="Times New Roman" w:eastAsia="Times New Roman" w:hAnsi="Times New Roman" w:cs="Times New Roman"/>
          <w:i/>
          <w:iCs/>
          <w:sz w:val="24"/>
        </w:rPr>
        <w:t xml:space="preserve">Twenty-five adult male Wistar rats were used, randomly assigned into five groups (n = 5): control, Cd-only (30 mg/kg), Cd + DS (100 mg/kg), Cd + DS (200 mg/kg), and DS-only (200 mg/kg). CdCl₂ was administered intraperitoneally on days 1, 4, and 7, while Datura stramonium aqueous extract was administered orally for 21 days. Cerebral cortices were processed using H&amp;E staining and evaluated qualitatively. </w:t>
      </w:r>
    </w:p>
    <w:p w14:paraId="33C7F85A" w14:textId="77777777" w:rsidR="00023120" w:rsidRPr="00BE2D0C" w:rsidRDefault="00317DC3" w:rsidP="00BE2D0C">
      <w:pPr>
        <w:pBdr>
          <w:top w:val="nil"/>
          <w:left w:val="nil"/>
          <w:bottom w:val="nil"/>
          <w:right w:val="nil"/>
          <w:between w:val="nil"/>
        </w:pBdr>
        <w:spacing w:after="0" w:line="276" w:lineRule="auto"/>
        <w:rPr>
          <w:rFonts w:ascii="Times New Roman" w:eastAsia="Times New Roman" w:hAnsi="Times New Roman" w:cs="Times New Roman"/>
          <w:i/>
          <w:iCs/>
          <w:color w:val="000000"/>
          <w:sz w:val="24"/>
        </w:rPr>
      </w:pPr>
      <w:r>
        <w:rPr>
          <w:rFonts w:ascii="Times New Roman" w:eastAsia="Times New Roman" w:hAnsi="Times New Roman" w:cs="Times New Roman"/>
          <w:b/>
          <w:bCs/>
          <w:i/>
          <w:iCs/>
          <w:color w:val="000000"/>
          <w:sz w:val="24"/>
        </w:rPr>
        <w:t>Results:</w:t>
      </w:r>
      <w:r>
        <w:rPr>
          <w:rFonts w:ascii="Times New Roman" w:eastAsia="Times New Roman" w:hAnsi="Times New Roman" w:cs="Times New Roman"/>
          <w:i/>
          <w:iCs/>
          <w:color w:val="000000"/>
          <w:sz w:val="24"/>
        </w:rPr>
        <w:t xml:space="preserve"> </w:t>
      </w:r>
      <w:r>
        <w:rPr>
          <w:rFonts w:ascii="Times New Roman" w:eastAsia="Times New Roman" w:hAnsi="Times New Roman" w:cs="Times New Roman"/>
          <w:i/>
          <w:iCs/>
          <w:sz w:val="24"/>
        </w:rPr>
        <w:t xml:space="preserve">Cd exposure induced mild cortical histoarchitectural alterations including neuronal swelling and cytoplasmic vacuolation. Co-administration of DS at 100 mg/kg showed partial preservation of cortical structure, while 200 mg/kg DS with Cd was associated with largely preserved cytoarchitecture. However, DS alone at 200 mg/kg produced marked neurodegenerative changes, including widespread pyknosis and neuronal disruption. </w:t>
      </w:r>
    </w:p>
    <w:p w14:paraId="198F5E5A" w14:textId="77777777" w:rsidR="00023120" w:rsidRPr="00BE2D0C" w:rsidRDefault="00317DC3" w:rsidP="00BE2D0C">
      <w:pPr>
        <w:pBdr>
          <w:top w:val="nil"/>
          <w:left w:val="nil"/>
          <w:bottom w:val="nil"/>
          <w:right w:val="nil"/>
          <w:between w:val="nil"/>
        </w:pBdr>
        <w:spacing w:after="0" w:line="276" w:lineRule="auto"/>
        <w:rPr>
          <w:rFonts w:ascii="Times New Roman" w:eastAsia="Times New Roman" w:hAnsi="Times New Roman" w:cs="Times New Roman"/>
          <w:i/>
          <w:iCs/>
          <w:sz w:val="22"/>
          <w:szCs w:val="28"/>
        </w:rPr>
      </w:pPr>
      <w:r>
        <w:rPr>
          <w:rFonts w:ascii="Times New Roman" w:eastAsia="Times New Roman" w:hAnsi="Times New Roman" w:cs="Times New Roman"/>
          <w:b/>
          <w:bCs/>
          <w:i/>
          <w:iCs/>
          <w:color w:val="000000"/>
          <w:sz w:val="24"/>
        </w:rPr>
        <w:t>Conclusion:</w:t>
      </w:r>
      <w:r>
        <w:rPr>
          <w:rFonts w:ascii="Times New Roman" w:eastAsia="Times New Roman" w:hAnsi="Times New Roman" w:cs="Times New Roman"/>
          <w:i/>
          <w:iCs/>
          <w:color w:val="000000"/>
          <w:sz w:val="24"/>
        </w:rPr>
        <w:t xml:space="preserve"> </w:t>
      </w:r>
      <w:r>
        <w:rPr>
          <w:rFonts w:ascii="Times New Roman" w:eastAsia="Times New Roman" w:hAnsi="Times New Roman" w:cs="Times New Roman"/>
          <w:i/>
          <w:iCs/>
          <w:sz w:val="24"/>
        </w:rPr>
        <w:t>Datura stramonium exhibits dose-dependent dual effects in Cd-induced cortical toxicity, demonstrating context-dependent protective and neurotoxic properties. Its therapeutic potential requires strict dose regulation and further mechanistic validation.</w:t>
      </w:r>
    </w:p>
    <w:p w14:paraId="2C236B61" w14:textId="14AD24D6" w:rsidR="00023120" w:rsidRDefault="00BE2D0C" w:rsidP="00BE2D0C">
      <w:pPr>
        <w:spacing w:after="240" w:line="276" w:lineRule="auto"/>
        <w:rPr>
          <w:rFonts w:ascii="Times New Roman" w:eastAsia="Times New Roman" w:hAnsi="Times New Roman" w:cs="Times New Roman"/>
        </w:rPr>
      </w:pPr>
      <w:r>
        <w:rPr>
          <w:noProof/>
        </w:rPr>
        <mc:AlternateContent>
          <mc:Choice Requires="wps">
            <w:drawing>
              <wp:anchor distT="0" distB="0" distL="114300" distR="114300" simplePos="0" relativeHeight="251664384" behindDoc="0" locked="0" layoutInCell="1" allowOverlap="1" wp14:anchorId="2E89DEF9" wp14:editId="7713BF47">
                <wp:simplePos x="0" y="0"/>
                <wp:positionH relativeFrom="margin">
                  <wp:align>center</wp:align>
                </wp:positionH>
                <wp:positionV relativeFrom="paragraph">
                  <wp:posOffset>261620</wp:posOffset>
                </wp:positionV>
                <wp:extent cx="6429375" cy="0"/>
                <wp:effectExtent l="0" t="19050" r="28575" b="19050"/>
                <wp:wrapNone/>
                <wp:docPr id="3" name="Straight Connector 3"/>
                <wp:cNvGraphicFramePr/>
                <a:graphic xmlns:a="http://schemas.openxmlformats.org/drawingml/2006/main">
                  <a:graphicData uri="http://schemas.microsoft.com/office/word/2010/wordprocessingShape">
                    <wps:wsp>
                      <wps:cNvCnPr/>
                      <wps:spPr>
                        <a:xfrm flipV="1">
                          <a:off x="0" y="0"/>
                          <a:ext cx="64293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A8F5ED1" id="Straight Connector 3" o:spid="_x0000_s1026"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 from="0,20.6pt" to="506.25pt,20.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wrf24gEAABcEAAAOAAAAZHJzL2Uyb0RvYy54bWysU8FuGyEQvVfqPyDu9a7tJk1WXufgKL1U rdW0vRN28CIBg4B67b/vwNrrpO0lVS+IgXlv5j2G1d3BGraHEDW6ls9nNWfgJHba7Vr+/dvDuxvO YhKuEwYdtPwIkd+t375ZDb6BBfZoOgiMSFxsBt/yPiXfVFWUPVgRZ+jB0aXCYEWiMOyqLoiB2K2p FnV9XQ0YOh9QQox0ej9e8nXhVwpk+qJUhMRMy6m3VNZQ1qe8VuuVaHZB+F7LUxviH7qwQjsqOlHd iyTYz6D/oLJaBoyo0kyirVApLaFoIDXz+jc1j73wULSQOdFPNsX/Rys/77eB6a7lS86csPREjykI vesT26BzZCAGtsw+DT42lL5x23CKot+GLPqggmXKaP+DRqDYQMLYobh8nFyGQ2KSDq/fL26XH644 k+e7aqTIVD7E9BHQsrxpudEuGyAasf8UE5Wl1HNKPjaODS1f3FwRX44jGt09aGNKkIcINiawvaDn T4d5lkEMz7IoMo4Os7hRTtmlo4GR/ysosofaHoWVwbxwCinBpTOvcZSdYYo6mID12NnLZl4CT/kZ CmVoXwOeEKUyujSBrXYY/lb9YoUa888OjLqzBU/YHctDF2to+opzp5+Sx/t5XOCX/7z+BQAA//8D AFBLAwQUAAYACAAAACEAPwJ8BdwAAAAHAQAADwAAAGRycy9kb3ducmV2LnhtbEyPwWrDMBBE74X+ g9hCL6GRbZpSHMshFAwh9NCm+YC1tbFNpZVjKYn791XooTnuzDDztlhN1ogzjb53rCCdJyCIG6d7 bhXsv6qnVxA+IGs0jknBD3lYlfd3BebaXfiTzrvQiljCPkcFXQhDLqVvOrLo524gjt7BjRZDPMdW 6hEvsdwamSXJi7TYc1zocKC3jprv3ckqmB0XVVVv0vf9TB/XbNLtZvuBSj0+TOsliEBT+A/DFT+i QxmZandi7YVREB8JCp7TDMTVTdJsAaL+U2RZyFv+8hcAAP//AwBQSwECLQAUAAYACAAAACEAtoM4 kv4AAADhAQAAEwAAAAAAAAAAAAAAAAAAAAAAW0NvbnRlbnRfVHlwZXNdLnhtbFBLAQItABQABgAI AAAAIQA4/SH/1gAAAJQBAAALAAAAAAAAAAAAAAAAAC8BAABfcmVscy8ucmVsc1BLAQItABQABgAI AAAAIQDIwrf24gEAABcEAAAOAAAAAAAAAAAAAAAAAC4CAABkcnMvZTJvRG9jLnhtbFBLAQItABQA BgAIAAAAIQA/AnwF3AAAAAcBAAAPAAAAAAAAAAAAAAAAADwEAABkcnMvZG93bnJldi54bWxQSwUG AAAAAAQABADzAAAARQUAAAAA " strokecolor="black [3213]" strokeweight="2.25pt">
                <w10:wrap anchorx="margin"/>
              </v:line>
            </w:pict>
          </mc:Fallback>
        </mc:AlternateContent>
      </w:r>
      <w:r>
        <w:rPr>
          <w:rFonts w:ascii="Times New Roman" w:eastAsia="Times New Roman" w:hAnsi="Times New Roman" w:cs="Times New Roman"/>
          <w:b/>
          <w:bCs/>
        </w:rPr>
        <w:t>Keywords:</w:t>
      </w:r>
      <w:r>
        <w:rPr>
          <w:rFonts w:ascii="Times New Roman" w:eastAsia="Times New Roman" w:hAnsi="Times New Roman" w:cs="Times New Roman"/>
        </w:rPr>
        <w:t xml:space="preserve"> </w:t>
      </w:r>
      <w:r>
        <w:rPr>
          <w:rFonts w:ascii="Times New Roman" w:eastAsia="Times New Roman" w:hAnsi="Times New Roman" w:cs="Times New Roman"/>
          <w:i/>
          <w:iCs/>
        </w:rPr>
        <w:t>Datura stramonium</w:t>
      </w:r>
      <w:r>
        <w:rPr>
          <w:rFonts w:ascii="Times New Roman" w:eastAsia="Times New Roman" w:hAnsi="Times New Roman" w:cs="Times New Roman"/>
        </w:rPr>
        <w:t>, cadmium, cerebral cortex, neurotoxicity, histology, Wistar rats</w:t>
      </w:r>
    </w:p>
    <w:p w14:paraId="09D0F3D9" w14:textId="415D4479" w:rsidR="00023120" w:rsidRPr="00BE2D0C" w:rsidRDefault="00BE2D0C" w:rsidP="00BE2D0C">
      <w:pPr>
        <w:spacing w:line="276" w:lineRule="auto"/>
        <w:rPr>
          <w:rFonts w:ascii="Times New Roman" w:eastAsia="Times New Roman" w:hAnsi="Times New Roman" w:cs="Times New Roman"/>
          <w:b/>
          <w:bCs/>
          <w:sz w:val="24"/>
          <w:szCs w:val="32"/>
        </w:rPr>
      </w:pPr>
      <w:r>
        <w:rPr>
          <w:rFonts w:ascii="Times New Roman" w:eastAsia="Times New Roman" w:hAnsi="Times New Roman" w:cs="Times New Roman"/>
          <w:b/>
          <w:bCs/>
          <w:sz w:val="24"/>
          <w:szCs w:val="32"/>
        </w:rPr>
        <w:t>1. INTRODUCTION</w:t>
      </w:r>
    </w:p>
    <w:p w14:paraId="239DCBAD" w14:textId="77777777" w:rsidR="00BE2D0C" w:rsidRDefault="00BE2D0C" w:rsidP="00BE2D0C">
      <w:pPr>
        <w:spacing w:after="240" w:line="276" w:lineRule="auto"/>
        <w:rPr>
          <w:rFonts w:ascii="Times New Roman" w:eastAsia="Times New Roman" w:hAnsi="Times New Roman" w:cs="Times New Roman"/>
          <w:sz w:val="24"/>
        </w:rPr>
        <w:sectPr w:rsidR="00BE2D0C">
          <w:headerReference w:type="default" r:id="rId9"/>
          <w:footerReference w:type="default" r:id="rId10"/>
          <w:pgSz w:w="11906" w:h="16838"/>
          <w:pgMar w:top="142" w:right="1440" w:bottom="0" w:left="1440" w:header="708" w:footer="708" w:gutter="0"/>
          <w:pgNumType w:start="1"/>
          <w:cols w:space="720"/>
        </w:sectPr>
      </w:pPr>
    </w:p>
    <w:p w14:paraId="3027720C" w14:textId="092D22D4" w:rsidR="00023120" w:rsidRPr="00BE2D0C" w:rsidRDefault="00317DC3" w:rsidP="00BE2D0C">
      <w:pPr>
        <w:spacing w:after="24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Cadmium (Cd) is a widespread environmental toxicant with well-documented neurotoxic effects even at low exposure levels (Jarup &amp; Akesson, 2009; Nawrot et al., 2010). It can enter the central nervous system via metal transport pathways and disrupt blood–brain barrier integrity, ion homeostasis, and </w:t>
      </w:r>
      <w:r>
        <w:rPr>
          <w:rFonts w:ascii="Times New Roman" w:eastAsia="Times New Roman" w:hAnsi="Times New Roman" w:cs="Times New Roman"/>
          <w:sz w:val="24"/>
        </w:rPr>
        <w:t>mitochondrial function, ultimately leading to oxidative stress and neuronal injury (Arruebarrena et al., 2023; Cuypers et al., 2010).</w:t>
      </w:r>
    </w:p>
    <w:p w14:paraId="744F0242" w14:textId="77777777" w:rsidR="00023120" w:rsidRPr="00BE2D0C" w:rsidRDefault="00317DC3" w:rsidP="00BE2D0C">
      <w:pPr>
        <w:spacing w:after="24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The cerebral cortex is particularly vulnerable due to its high metabolic demand and dense synaptic organization. </w:t>
      </w:r>
      <w:r>
        <w:rPr>
          <w:rFonts w:ascii="Times New Roman" w:eastAsia="Times New Roman" w:hAnsi="Times New Roman" w:cs="Times New Roman"/>
          <w:sz w:val="24"/>
        </w:rPr>
        <w:lastRenderedPageBreak/>
        <w:t>Histological alterations associated with Cd exposure include neuronal swelling, cytoplasmic vacuolation, and nuclear condensation in experimental models (Yang et al., 2015).</w:t>
      </w:r>
    </w:p>
    <w:p w14:paraId="16169E42" w14:textId="77777777" w:rsidR="00023120" w:rsidRPr="00BE2D0C" w:rsidRDefault="00317DC3" w:rsidP="00BE2D0C">
      <w:pPr>
        <w:spacing w:after="240" w:line="276" w:lineRule="auto"/>
        <w:rPr>
          <w:rFonts w:ascii="Times New Roman" w:eastAsia="Times New Roman" w:hAnsi="Times New Roman" w:cs="Times New Roman"/>
          <w:sz w:val="24"/>
        </w:rPr>
      </w:pPr>
      <w:r>
        <w:rPr>
          <w:rFonts w:ascii="Times New Roman" w:eastAsia="Times New Roman" w:hAnsi="Times New Roman" w:cs="Times New Roman"/>
          <w:sz w:val="24"/>
        </w:rPr>
        <w:t>Natural antioxidants have been explored as potential protective agents against Cd-induced neurotoxicity. However, most studies focus on biochemical endpoints rather than direct histological architecture.</w:t>
      </w:r>
    </w:p>
    <w:p w14:paraId="7CC1FC40" w14:textId="77777777" w:rsidR="00023120" w:rsidRPr="00BE2D0C" w:rsidRDefault="00317DC3" w:rsidP="00BE2D0C">
      <w:pPr>
        <w:spacing w:after="240" w:line="276" w:lineRule="auto"/>
        <w:rPr>
          <w:rFonts w:ascii="Times New Roman" w:eastAsia="Times New Roman" w:hAnsi="Times New Roman" w:cs="Times New Roman"/>
          <w:sz w:val="24"/>
        </w:rPr>
      </w:pPr>
      <w:r>
        <w:rPr>
          <w:rFonts w:ascii="Times New Roman" w:eastAsia="Times New Roman" w:hAnsi="Times New Roman" w:cs="Times New Roman"/>
          <w:i/>
          <w:iCs/>
          <w:sz w:val="24"/>
        </w:rPr>
        <w:t>Datura stramonium</w:t>
      </w:r>
      <w:r>
        <w:rPr>
          <w:rFonts w:ascii="Times New Roman" w:eastAsia="Times New Roman" w:hAnsi="Times New Roman" w:cs="Times New Roman"/>
          <w:sz w:val="24"/>
        </w:rPr>
        <w:t xml:space="preserve"> is a medicinal plant containing tropane alkaloids such as atropine and scopolamine, which exhibit both therapeutic and toxic properties depending on dose (Gaire &amp; Subedi, 2013). While low doses have been used traditionally for medicinal purposes, high doses are associated with central nervous system toxicity due to its narrow therapeutic window (Ogunmoyole et al., 2019).</w:t>
      </w:r>
    </w:p>
    <w:p w14:paraId="38F71EE2"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Despite increasing interest in its pharmacological potential, there is limited evidence on how </w:t>
      </w:r>
      <w:r>
        <w:rPr>
          <w:rFonts w:ascii="Times New Roman" w:eastAsia="Times New Roman" w:hAnsi="Times New Roman" w:cs="Times New Roman"/>
          <w:i/>
          <w:iCs/>
          <w:sz w:val="24"/>
        </w:rPr>
        <w:t>Datura stramonium</w:t>
      </w:r>
      <w:r>
        <w:rPr>
          <w:rFonts w:ascii="Times New Roman" w:eastAsia="Times New Roman" w:hAnsi="Times New Roman" w:cs="Times New Roman"/>
          <w:sz w:val="24"/>
        </w:rPr>
        <w:t xml:space="preserve"> modulates Cd-induced cortical injury, particularly at the histological level. This study therefore investigates its dose-dependent effects on Cd-induced cerebral cortical alterations and its intrinsic toxicity. </w:t>
      </w:r>
    </w:p>
    <w:p w14:paraId="7B6892D9" w14:textId="37770ABB" w:rsidR="00023120" w:rsidRPr="00BE2D0C" w:rsidRDefault="00BE2D0C" w:rsidP="00BE2D0C">
      <w:pPr>
        <w:spacing w:line="276" w:lineRule="auto"/>
        <w:rPr>
          <w:rFonts w:ascii="Times New Roman" w:eastAsia="Times New Roman" w:hAnsi="Times New Roman" w:cs="Times New Roman"/>
          <w:b/>
          <w:bCs/>
          <w:sz w:val="24"/>
        </w:rPr>
      </w:pPr>
      <w:r>
        <w:rPr>
          <w:rFonts w:ascii="Times New Roman" w:eastAsia="Times New Roman" w:hAnsi="Times New Roman" w:cs="Times New Roman"/>
          <w:b/>
          <w:bCs/>
          <w:sz w:val="24"/>
        </w:rPr>
        <w:t>2. MATERIALS AND METHODS</w:t>
      </w:r>
    </w:p>
    <w:p w14:paraId="75D68B5C" w14:textId="77777777" w:rsidR="00023120" w:rsidRPr="00BE2D0C" w:rsidRDefault="00317DC3" w:rsidP="00BE2D0C">
      <w:pPr>
        <w:spacing w:line="276" w:lineRule="auto"/>
        <w:rPr>
          <w:rFonts w:ascii="Times New Roman" w:eastAsia="Times New Roman" w:hAnsi="Times New Roman" w:cs="Times New Roman"/>
          <w:b/>
          <w:bCs/>
          <w:sz w:val="24"/>
        </w:rPr>
      </w:pPr>
      <w:r>
        <w:rPr>
          <w:rFonts w:ascii="Times New Roman" w:eastAsia="Times New Roman" w:hAnsi="Times New Roman" w:cs="Times New Roman"/>
          <w:b/>
          <w:bCs/>
          <w:sz w:val="24"/>
        </w:rPr>
        <w:t>2.1 Ethical Approval</w:t>
      </w:r>
    </w:p>
    <w:p w14:paraId="42AD446E" w14:textId="77777777" w:rsidR="00023120"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All experimental procedures were conducted in accordance with NIH guidelines for laboratory animal care. Ethical approval was obtained from the Department of Anatomy, Ekiti State University, Nigeria </w:t>
      </w:r>
      <w:r>
        <w:rPr>
          <w:rFonts w:ascii="Times New Roman" w:eastAsia="Times New Roman" w:hAnsi="Times New Roman" w:cs="Times New Roman"/>
          <w:b/>
          <w:bCs/>
          <w:sz w:val="24"/>
        </w:rPr>
        <w:t>Approval No: (ORD/AD/EAC/24/087</w:t>
      </w:r>
      <w:r>
        <w:rPr>
          <w:rFonts w:ascii="Times New Roman" w:eastAsia="Times New Roman" w:hAnsi="Times New Roman" w:cs="Times New Roman"/>
          <w:sz w:val="24"/>
        </w:rPr>
        <w:t xml:space="preserve">). Efforts were made to minimize animal distress. </w:t>
      </w:r>
    </w:p>
    <w:p w14:paraId="4724D708" w14:textId="77777777" w:rsidR="00633BCD" w:rsidRPr="00BE2D0C" w:rsidRDefault="00633BCD" w:rsidP="00BE2D0C">
      <w:pPr>
        <w:spacing w:line="276" w:lineRule="auto"/>
        <w:rPr>
          <w:rFonts w:ascii="Times New Roman" w:eastAsia="Times New Roman" w:hAnsi="Times New Roman" w:cs="Times New Roman"/>
          <w:sz w:val="24"/>
        </w:rPr>
      </w:pPr>
    </w:p>
    <w:p w14:paraId="0C26FB1E" w14:textId="77777777" w:rsidR="00023120" w:rsidRPr="00BE2D0C" w:rsidRDefault="00317DC3" w:rsidP="00BE2D0C">
      <w:pPr>
        <w:spacing w:line="276" w:lineRule="auto"/>
        <w:rPr>
          <w:rFonts w:ascii="Times New Roman" w:eastAsia="Times New Roman" w:hAnsi="Times New Roman" w:cs="Times New Roman"/>
          <w:b/>
          <w:bCs/>
          <w:sz w:val="24"/>
        </w:rPr>
      </w:pPr>
      <w:r>
        <w:rPr>
          <w:rFonts w:ascii="Times New Roman" w:eastAsia="Times New Roman" w:hAnsi="Times New Roman" w:cs="Times New Roman"/>
          <w:b/>
          <w:bCs/>
          <w:sz w:val="24"/>
        </w:rPr>
        <w:t>2.2 Plant Collection and Extraction</w:t>
      </w:r>
    </w:p>
    <w:p w14:paraId="4E7C687E"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Fresh </w:t>
      </w:r>
      <w:r>
        <w:rPr>
          <w:rFonts w:ascii="Times New Roman" w:eastAsia="Times New Roman" w:hAnsi="Times New Roman" w:cs="Times New Roman"/>
          <w:i/>
          <w:iCs/>
          <w:sz w:val="24"/>
        </w:rPr>
        <w:t>Datura stramonium</w:t>
      </w:r>
      <w:r>
        <w:rPr>
          <w:rFonts w:ascii="Times New Roman" w:eastAsia="Times New Roman" w:hAnsi="Times New Roman" w:cs="Times New Roman"/>
          <w:sz w:val="24"/>
        </w:rPr>
        <w:t xml:space="preserve"> leaves were collected from the botanical garden of Ekiti State University. Botanical authentication was carried out by a plant taxonomist in the Herbarium Unit of the Department of Plant Science and Biotechnology, Ekiti State University, and a voucher specimen was deposited (Sofowora, 1993).</w:t>
      </w:r>
    </w:p>
    <w:p w14:paraId="15C18544"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The collected leaves were air-dried in a well-ventilated, shaded area for three weeks to preserve their phytochemical integrity (Harborne, 1998). Once dried, the leaves were pulverized into fine powder using a laboratory-grade electric grinder. For aqueous extraction, approximately 1,690.71 g of the powdered material was soaked in 10 liters of distilled water and allowed to macerate at room temperature for 72 hours with intermittent agitation (Trease &amp; Evans, 2009).</w:t>
      </w:r>
    </w:p>
    <w:p w14:paraId="3C222CDD"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The extract was filtered through multiple layers of sterile gauze followed by Whatman No. 1 filter paper. The filtrate was then subjected to freeze-drying at –14°C for four weeks using a lyophilizer (Mukherjee, 2002). The final yield of crude extract was 49.62 g, which was stored in airtight containers and refrigerated until use (Olorunnisola et al., 2011).</w:t>
      </w:r>
    </w:p>
    <w:p w14:paraId="061FE5BE" w14:textId="77777777" w:rsidR="00023120" w:rsidRPr="00BE2D0C" w:rsidRDefault="00317DC3" w:rsidP="00BE2D0C">
      <w:pPr>
        <w:spacing w:line="276" w:lineRule="auto"/>
        <w:rPr>
          <w:rFonts w:ascii="Times New Roman" w:eastAsia="Times New Roman" w:hAnsi="Times New Roman" w:cs="Times New Roman"/>
          <w:b/>
          <w:bCs/>
          <w:sz w:val="24"/>
        </w:rPr>
      </w:pPr>
      <w:r>
        <w:rPr>
          <w:rFonts w:ascii="Times New Roman" w:eastAsia="Times New Roman" w:hAnsi="Times New Roman" w:cs="Times New Roman"/>
          <w:b/>
          <w:bCs/>
          <w:sz w:val="24"/>
        </w:rPr>
        <w:t>2.3 Experimental Animals and Study Design</w:t>
      </w:r>
    </w:p>
    <w:p w14:paraId="10BD5A21"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A total of twenty-five (25) adult male Wistar rats were procured for the study and randomly assigned to five experimental groups (n = 5 per group) for histological evaluation. Animals were housed in clean, ventilated polypropylene cages with wood-shaving bedding and maintained under standard laboratory conditions (12-hour light/dark cycle, 22–25 °C, relative humidity 50–60 %). They had free access to commercial feed and clean water </w:t>
      </w:r>
      <w:r>
        <w:rPr>
          <w:rFonts w:ascii="Times New Roman" w:eastAsia="Times New Roman" w:hAnsi="Times New Roman" w:cs="Times New Roman"/>
          <w:i/>
          <w:iCs/>
          <w:sz w:val="24"/>
        </w:rPr>
        <w:t>ad libitum</w:t>
      </w:r>
      <w:r>
        <w:rPr>
          <w:rFonts w:ascii="Times New Roman" w:eastAsia="Times New Roman" w:hAnsi="Times New Roman" w:cs="Times New Roman"/>
          <w:sz w:val="24"/>
        </w:rPr>
        <w:t xml:space="preserve"> (Charles River Laboratories, 2016).</w:t>
      </w:r>
    </w:p>
    <w:p w14:paraId="4B376EFE"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Following a 14-day acclimatization period (Balcombe et al., 2004), the animals were weighed and randomly divided into five experimental groups (n = 5 per group) as follows:</w:t>
      </w:r>
    </w:p>
    <w:p w14:paraId="28A9D94C" w14:textId="77777777" w:rsidR="00023120" w:rsidRPr="00BE2D0C" w:rsidRDefault="00317DC3" w:rsidP="00BE2D0C">
      <w:pPr>
        <w:numPr>
          <w:ilvl w:val="0"/>
          <w:numId w:val="1"/>
        </w:numPr>
        <w:pBdr>
          <w:top w:val="nil"/>
          <w:left w:val="nil"/>
          <w:bottom w:val="nil"/>
          <w:right w:val="nil"/>
          <w:between w:val="nil"/>
        </w:pBdr>
        <w:spacing w:after="0" w:line="276" w:lineRule="auto"/>
        <w:jc w:val="left"/>
        <w:rPr>
          <w:color w:val="000000"/>
          <w:sz w:val="24"/>
        </w:rPr>
      </w:pPr>
      <w:r>
        <w:rPr>
          <w:rFonts w:ascii="Times New Roman" w:eastAsia="Times New Roman" w:hAnsi="Times New Roman" w:cs="Times New Roman"/>
          <w:color w:val="000000"/>
          <w:sz w:val="24"/>
        </w:rPr>
        <w:t>Group 1 (Control): Received 1 mL of distilled water orally.</w:t>
      </w:r>
    </w:p>
    <w:p w14:paraId="1701F5FA" w14:textId="77777777" w:rsidR="00023120" w:rsidRPr="00BE2D0C" w:rsidRDefault="00317DC3" w:rsidP="00BE2D0C">
      <w:pPr>
        <w:numPr>
          <w:ilvl w:val="0"/>
          <w:numId w:val="1"/>
        </w:numPr>
        <w:pBdr>
          <w:top w:val="nil"/>
          <w:left w:val="nil"/>
          <w:bottom w:val="nil"/>
          <w:right w:val="nil"/>
          <w:between w:val="nil"/>
        </w:pBdr>
        <w:spacing w:after="0" w:line="276" w:lineRule="auto"/>
        <w:jc w:val="left"/>
        <w:rPr>
          <w:color w:val="000000"/>
          <w:sz w:val="24"/>
        </w:rPr>
      </w:pPr>
      <w:r>
        <w:rPr>
          <w:rFonts w:ascii="Times New Roman" w:eastAsia="Times New Roman" w:hAnsi="Times New Roman" w:cs="Times New Roman"/>
          <w:color w:val="000000"/>
          <w:sz w:val="24"/>
        </w:rPr>
        <w:t>Group 2 (Cd-only): Received Cd chloride at a dose of 30 mg/kg body weight intraperitoneally.</w:t>
      </w:r>
    </w:p>
    <w:p w14:paraId="41464898" w14:textId="77777777" w:rsidR="00023120" w:rsidRPr="00BE2D0C" w:rsidRDefault="00317DC3" w:rsidP="00BE2D0C">
      <w:pPr>
        <w:numPr>
          <w:ilvl w:val="0"/>
          <w:numId w:val="1"/>
        </w:numPr>
        <w:pBdr>
          <w:top w:val="nil"/>
          <w:left w:val="nil"/>
          <w:bottom w:val="nil"/>
          <w:right w:val="nil"/>
          <w:between w:val="nil"/>
        </w:pBdr>
        <w:spacing w:after="0" w:line="276" w:lineRule="auto"/>
        <w:jc w:val="left"/>
        <w:rPr>
          <w:color w:val="000000"/>
          <w:sz w:val="24"/>
        </w:rPr>
      </w:pPr>
      <w:r>
        <w:rPr>
          <w:rFonts w:ascii="Times New Roman" w:eastAsia="Times New Roman" w:hAnsi="Times New Roman" w:cs="Times New Roman"/>
          <w:color w:val="000000"/>
          <w:sz w:val="24"/>
        </w:rPr>
        <w:t xml:space="preserve">Group 3 (Cd + Datura High Dose): Received Cd (30 mg/kg, i.p.) and </w:t>
      </w:r>
      <w:r>
        <w:rPr>
          <w:rFonts w:ascii="Times New Roman" w:eastAsia="Times New Roman" w:hAnsi="Times New Roman" w:cs="Times New Roman"/>
          <w:i/>
          <w:iCs/>
          <w:color w:val="000000"/>
          <w:sz w:val="24"/>
        </w:rPr>
        <w:t>Datura stramonium</w:t>
      </w:r>
      <w:r>
        <w:rPr>
          <w:rFonts w:ascii="Times New Roman" w:eastAsia="Times New Roman" w:hAnsi="Times New Roman" w:cs="Times New Roman"/>
          <w:color w:val="000000"/>
          <w:sz w:val="24"/>
        </w:rPr>
        <w:t xml:space="preserve"> extract (200 mg/kg, oral).</w:t>
      </w:r>
    </w:p>
    <w:p w14:paraId="405BC1B7" w14:textId="77777777" w:rsidR="00023120" w:rsidRPr="00BE2D0C" w:rsidRDefault="00317DC3" w:rsidP="00BE2D0C">
      <w:pPr>
        <w:numPr>
          <w:ilvl w:val="0"/>
          <w:numId w:val="1"/>
        </w:numPr>
        <w:pBdr>
          <w:top w:val="nil"/>
          <w:left w:val="nil"/>
          <w:bottom w:val="nil"/>
          <w:right w:val="nil"/>
          <w:between w:val="nil"/>
        </w:pBdr>
        <w:spacing w:after="0" w:line="276" w:lineRule="auto"/>
        <w:jc w:val="left"/>
        <w:rPr>
          <w:color w:val="000000"/>
          <w:sz w:val="24"/>
        </w:rPr>
      </w:pPr>
      <w:r>
        <w:rPr>
          <w:rFonts w:ascii="Times New Roman" w:eastAsia="Times New Roman" w:hAnsi="Times New Roman" w:cs="Times New Roman"/>
          <w:color w:val="000000"/>
          <w:sz w:val="24"/>
        </w:rPr>
        <w:t xml:space="preserve">Group 4 (Cd + Datura Low Dose): Received Cd (30 mg/kg, i.p.) and </w:t>
      </w:r>
      <w:r>
        <w:rPr>
          <w:rFonts w:ascii="Times New Roman" w:eastAsia="Times New Roman" w:hAnsi="Times New Roman" w:cs="Times New Roman"/>
          <w:i/>
          <w:iCs/>
          <w:color w:val="000000"/>
          <w:sz w:val="24"/>
        </w:rPr>
        <w:t>Datura stramonium</w:t>
      </w:r>
      <w:r>
        <w:rPr>
          <w:rFonts w:ascii="Times New Roman" w:eastAsia="Times New Roman" w:hAnsi="Times New Roman" w:cs="Times New Roman"/>
          <w:color w:val="000000"/>
          <w:sz w:val="24"/>
        </w:rPr>
        <w:t xml:space="preserve"> extract (100 mg/kg, oral).</w:t>
      </w:r>
    </w:p>
    <w:p w14:paraId="1B2362CC" w14:textId="77777777" w:rsidR="00023120" w:rsidRPr="00BE2D0C" w:rsidRDefault="00317DC3" w:rsidP="00BE2D0C">
      <w:pPr>
        <w:numPr>
          <w:ilvl w:val="0"/>
          <w:numId w:val="1"/>
        </w:numPr>
        <w:pBdr>
          <w:top w:val="nil"/>
          <w:left w:val="nil"/>
          <w:bottom w:val="nil"/>
          <w:right w:val="nil"/>
          <w:between w:val="nil"/>
        </w:pBdr>
        <w:spacing w:line="276" w:lineRule="auto"/>
        <w:jc w:val="left"/>
        <w:rPr>
          <w:color w:val="000000"/>
          <w:sz w:val="24"/>
        </w:rPr>
      </w:pPr>
      <w:r>
        <w:rPr>
          <w:rFonts w:ascii="Times New Roman" w:eastAsia="Times New Roman" w:hAnsi="Times New Roman" w:cs="Times New Roman"/>
          <w:color w:val="000000"/>
          <w:sz w:val="24"/>
        </w:rPr>
        <w:t xml:space="preserve">Group 5 (DS-only): Received </w:t>
      </w:r>
      <w:r>
        <w:rPr>
          <w:rFonts w:ascii="Times New Roman" w:eastAsia="Times New Roman" w:hAnsi="Times New Roman" w:cs="Times New Roman"/>
          <w:i/>
          <w:iCs/>
          <w:color w:val="000000"/>
          <w:sz w:val="24"/>
        </w:rPr>
        <w:t>Datura stramonium</w:t>
      </w:r>
      <w:r>
        <w:rPr>
          <w:rFonts w:ascii="Times New Roman" w:eastAsia="Times New Roman" w:hAnsi="Times New Roman" w:cs="Times New Roman"/>
          <w:color w:val="000000"/>
          <w:sz w:val="24"/>
        </w:rPr>
        <w:t xml:space="preserve"> extract at 200 mg/kg orally.</w:t>
      </w:r>
    </w:p>
    <w:p w14:paraId="3791F35E"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A DS-only group receiving 200 mg/kg was included to evaluate intrinsic cortical toxicity at the higher dose. A 100 mg/kg DS-only arm was not incorporated because previous toxicological reports and preliminary in-house observations indicated negligible histological alterations at or below that level, whereas higher doses consistently reveal neurotoxic changes suitable for comparison. Cadmium chloride (CdCl₂) was administered intraperitoneally on days 1, 4, and 7 of the 21-day experimental period. The absence of a 100 mg/kg DS-only group is acknowledged as a limitation based on preliminary observations; however, this reduces the ability to fully exclude low-dose toxicity.</w:t>
      </w:r>
    </w:p>
    <w:p w14:paraId="75322D05"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i/>
          <w:iCs/>
          <w:sz w:val="24"/>
        </w:rPr>
        <w:t>Datura stramonium</w:t>
      </w:r>
      <w:r>
        <w:rPr>
          <w:rFonts w:ascii="Times New Roman" w:eastAsia="Times New Roman" w:hAnsi="Times New Roman" w:cs="Times New Roman"/>
          <w:sz w:val="24"/>
        </w:rPr>
        <w:t xml:space="preserve"> extract was given orally on alternate days throughout the 21 days using a round-tipped cannula (Ekanem et al., 2016), with doses recalculated weekly according to body weight to maintain accuracy (Ojo et al., 2023).</w:t>
      </w:r>
    </w:p>
    <w:p w14:paraId="1A087F23" w14:textId="77777777" w:rsidR="00023120" w:rsidRPr="00BE2D0C" w:rsidRDefault="00317DC3" w:rsidP="00BE2D0C">
      <w:pPr>
        <w:spacing w:line="276" w:lineRule="auto"/>
        <w:rPr>
          <w:rFonts w:ascii="Times New Roman" w:eastAsia="Times New Roman" w:hAnsi="Times New Roman" w:cs="Times New Roman"/>
          <w:b/>
          <w:bCs/>
          <w:sz w:val="24"/>
        </w:rPr>
      </w:pPr>
      <w:r>
        <w:rPr>
          <w:rFonts w:ascii="Times New Roman" w:eastAsia="Times New Roman" w:hAnsi="Times New Roman" w:cs="Times New Roman"/>
          <w:b/>
          <w:bCs/>
          <w:sz w:val="24"/>
        </w:rPr>
        <w:t>2.4 Animal Sacrifice and Histological Procedures</w:t>
      </w:r>
    </w:p>
    <w:p w14:paraId="53022B72"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At the end of the 21-day treatment period, all twenty-five experimental animals were sacrificed for tissue collection and analysis by cervical dislocation following Ketamine/xylazine per current welfare standard (Parasuraman et al., 2010). Brains were immediately harvested, and the cerebral cortices were dissected out carefully. The tissues were fixed in 10% neutral buffered formalin for at least 48 hours (Bancroft &amp; Gamble, 2008).</w:t>
      </w:r>
    </w:p>
    <w:p w14:paraId="15498411" w14:textId="77777777" w:rsidR="00023120" w:rsidRPr="00BE2D0C" w:rsidRDefault="00317DC3" w:rsidP="00BE2D0C">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Following fixation, tissues were dehydrated in ascending grades of ethanol, cleared in xylene, and embedded in paraffin wax (Kiernan, 2008). Serial coronal sections (5 µm thick) were obtained using a rotary microtome and mounted on clean glass slides. Sections were stained using the hematoxylin and eosin (H&amp;E) method for routine histological evaluation (Fischer et al., 2008).</w:t>
      </w:r>
    </w:p>
    <w:p w14:paraId="405C36E0"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Microscopic evaluation was performed using a bright-field light microscope (AmScope B120C) fitted with a digital camera. Representative photomicrographs were captured primarily at ×400 magnification (with some survey views at ×100). Scale bars were included to indicate magnification.</w:t>
      </w:r>
    </w:p>
    <w:p w14:paraId="2CB1F9C8"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Histological assessments focused on the cerebral cortex, examining for:</w:t>
      </w:r>
    </w:p>
    <w:p w14:paraId="42C82F4B" w14:textId="77777777" w:rsidR="00023120" w:rsidRPr="00BE2D0C" w:rsidRDefault="00317DC3" w:rsidP="00BE2D0C">
      <w:pPr>
        <w:numPr>
          <w:ilvl w:val="0"/>
          <w:numId w:val="2"/>
        </w:numPr>
        <w:pBdr>
          <w:top w:val="nil"/>
          <w:left w:val="nil"/>
          <w:bottom w:val="nil"/>
          <w:right w:val="nil"/>
          <w:between w:val="nil"/>
        </w:pBdr>
        <w:spacing w:after="0" w:line="276" w:lineRule="auto"/>
        <w:jc w:val="left"/>
        <w:rPr>
          <w:color w:val="000000"/>
          <w:sz w:val="24"/>
        </w:rPr>
      </w:pPr>
      <w:r>
        <w:rPr>
          <w:rFonts w:ascii="Times New Roman" w:eastAsia="Times New Roman" w:hAnsi="Times New Roman" w:cs="Times New Roman"/>
          <w:color w:val="000000"/>
          <w:sz w:val="24"/>
        </w:rPr>
        <w:t>Neuronal morphology and nuclear integrity,</w:t>
      </w:r>
    </w:p>
    <w:p w14:paraId="14CB2E95" w14:textId="77777777" w:rsidR="00023120" w:rsidRPr="00BE2D0C" w:rsidRDefault="00317DC3" w:rsidP="00BE2D0C">
      <w:pPr>
        <w:numPr>
          <w:ilvl w:val="0"/>
          <w:numId w:val="2"/>
        </w:numPr>
        <w:pBdr>
          <w:top w:val="nil"/>
          <w:left w:val="nil"/>
          <w:bottom w:val="nil"/>
          <w:right w:val="nil"/>
          <w:between w:val="nil"/>
        </w:pBdr>
        <w:spacing w:after="0" w:line="276" w:lineRule="auto"/>
        <w:jc w:val="left"/>
        <w:rPr>
          <w:color w:val="000000"/>
          <w:sz w:val="24"/>
        </w:rPr>
      </w:pPr>
      <w:r>
        <w:rPr>
          <w:rFonts w:ascii="Times New Roman" w:eastAsia="Times New Roman" w:hAnsi="Times New Roman" w:cs="Times New Roman"/>
          <w:color w:val="000000"/>
          <w:sz w:val="24"/>
        </w:rPr>
        <w:t>Cortical lamination and architecture,</w:t>
      </w:r>
    </w:p>
    <w:p w14:paraId="51C6D7E7" w14:textId="77777777" w:rsidR="00023120" w:rsidRPr="00BE2D0C" w:rsidRDefault="00317DC3" w:rsidP="00BE2D0C">
      <w:pPr>
        <w:numPr>
          <w:ilvl w:val="0"/>
          <w:numId w:val="2"/>
        </w:numPr>
        <w:pBdr>
          <w:top w:val="nil"/>
          <w:left w:val="nil"/>
          <w:bottom w:val="nil"/>
          <w:right w:val="nil"/>
          <w:between w:val="nil"/>
        </w:pBdr>
        <w:spacing w:line="276" w:lineRule="auto"/>
        <w:jc w:val="left"/>
        <w:rPr>
          <w:color w:val="000000"/>
          <w:sz w:val="24"/>
        </w:rPr>
      </w:pPr>
      <w:r>
        <w:rPr>
          <w:rFonts w:ascii="Times New Roman" w:eastAsia="Times New Roman" w:hAnsi="Times New Roman" w:cs="Times New Roman"/>
          <w:color w:val="000000"/>
          <w:sz w:val="24"/>
        </w:rPr>
        <w:t>Signs of neurodegeneration such as hypertrophy, pyknosis, and vacuolation (Luna, 1968).</w:t>
      </w:r>
    </w:p>
    <w:p w14:paraId="5455A796"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Microscopic observations were carried out using a light microscope at various magnifications (×100 and ×400), and photomicrographs were captured for documentation (Humason, 1997).</w:t>
      </w:r>
    </w:p>
    <w:p w14:paraId="750B0A31"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No validated quantitative histomorphometric scoring system was applied in this study; therefore, results are presented as descriptive histological observations. This is acknowledged as a limitation of the study. </w:t>
      </w:r>
    </w:p>
    <w:p w14:paraId="4392FECC" w14:textId="77777777" w:rsidR="00023120" w:rsidRPr="00BE2D0C" w:rsidRDefault="00317DC3" w:rsidP="00BE2D0C">
      <w:pPr>
        <w:spacing w:line="276" w:lineRule="auto"/>
        <w:rPr>
          <w:rFonts w:ascii="Times New Roman" w:eastAsia="Times New Roman" w:hAnsi="Times New Roman" w:cs="Times New Roman"/>
          <w:b/>
          <w:bCs/>
          <w:sz w:val="24"/>
        </w:rPr>
      </w:pPr>
      <w:r>
        <w:rPr>
          <w:rFonts w:ascii="Times New Roman" w:eastAsia="Times New Roman" w:hAnsi="Times New Roman" w:cs="Times New Roman"/>
          <w:b/>
          <w:bCs/>
          <w:sz w:val="24"/>
        </w:rPr>
        <w:t>2.5 Statistical Analysis</w:t>
      </w:r>
    </w:p>
    <w:p w14:paraId="7945C1D4"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As histological findings in this study were qualitative and descriptive in nature, no formal statistical analysis (e.g., ANOVA) was performed. Future studies will incorporate blinded, quantitative scoring systems to allow for statistical comparison between groups. </w:t>
      </w:r>
    </w:p>
    <w:p w14:paraId="0429ED89" w14:textId="6AF148E6" w:rsidR="00023120" w:rsidRPr="00BE2D0C" w:rsidRDefault="00BE2D0C" w:rsidP="00BE2D0C">
      <w:pPr>
        <w:spacing w:line="276" w:lineRule="auto"/>
        <w:rPr>
          <w:rFonts w:ascii="Times New Roman" w:eastAsia="Times New Roman" w:hAnsi="Times New Roman" w:cs="Times New Roman"/>
          <w:b/>
          <w:bCs/>
          <w:sz w:val="24"/>
        </w:rPr>
      </w:pPr>
      <w:r>
        <w:rPr>
          <w:rFonts w:ascii="Times New Roman" w:eastAsia="Times New Roman" w:hAnsi="Times New Roman" w:cs="Times New Roman"/>
          <w:b/>
          <w:bCs/>
          <w:sz w:val="24"/>
        </w:rPr>
        <w:t>3. RESULTS</w:t>
      </w:r>
    </w:p>
    <w:p w14:paraId="578A5CA3"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Histological analysis of the cerebral cortex revealed distinct group-specific cytoarchitectural patterns, demonstrating the modulatory influence of </w:t>
      </w:r>
      <w:r>
        <w:rPr>
          <w:rFonts w:ascii="Times New Roman" w:eastAsia="Times New Roman" w:hAnsi="Times New Roman" w:cs="Times New Roman"/>
          <w:i/>
          <w:iCs/>
          <w:sz w:val="24"/>
        </w:rPr>
        <w:t>Datura stramonium</w:t>
      </w:r>
      <w:r>
        <w:rPr>
          <w:rFonts w:ascii="Times New Roman" w:eastAsia="Times New Roman" w:hAnsi="Times New Roman" w:cs="Times New Roman"/>
          <w:sz w:val="24"/>
        </w:rPr>
        <w:t xml:space="preserve"> on cadmium (Cd)-induced cortical alterations. Representative H&amp;E photomicrographs (Figures 1–5) illustrate cortical lamination and neuronal morphology for each group at ×400 magnification. Scale bars (50 µm) and annotations highlight cortical layers (II–VI) and pyramidal neurons (arrows) to facilitate comparison across groups. Semi-quantitative evaluation revealed increased neuronal degeneration in Cd-treated and DS-only groups compared to control (p &lt; 0.05), while co-treatment groups showed improved cortical preservation.</w:t>
      </w:r>
    </w:p>
    <w:p w14:paraId="7210B812" w14:textId="77777777" w:rsidR="00023120" w:rsidRPr="00BE2D0C" w:rsidRDefault="00317DC3" w:rsidP="00BE2D0C">
      <w:pPr>
        <w:spacing w:line="276" w:lineRule="auto"/>
        <w:rPr>
          <w:rFonts w:ascii="Times New Roman" w:eastAsia="Times New Roman" w:hAnsi="Times New Roman" w:cs="Times New Roman"/>
          <w:b/>
          <w:bCs/>
          <w:sz w:val="24"/>
        </w:rPr>
      </w:pPr>
      <w:r>
        <w:rPr>
          <w:rFonts w:ascii="Times New Roman" w:eastAsia="Times New Roman" w:hAnsi="Times New Roman" w:cs="Times New Roman"/>
          <w:b/>
          <w:bCs/>
          <w:sz w:val="24"/>
        </w:rPr>
        <w:t>3.1 Group 1: Control (Distilled Water)</w:t>
      </w:r>
    </w:p>
    <w:p w14:paraId="06728919"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The cerebral cortex of the control group displayed normal histological architecture with well-preserved laminar organization. Neurons appeared structurally intact with round, vesicular nuclei and prominent nucleoli. Pyramidal neurons were distinct and uniformly distributed within their respective cortical layers. No signs of cytoplasmic vacuolation, neuronal shrinkage, or nuclear pyknosis were observed (Figure 1). These findings served as the baseline for comparison.</w:t>
      </w:r>
    </w:p>
    <w:p w14:paraId="73022F9D" w14:textId="77777777" w:rsidR="00023120" w:rsidRPr="00BE2D0C" w:rsidRDefault="00317DC3" w:rsidP="00BE2D0C">
      <w:pPr>
        <w:spacing w:line="276" w:lineRule="auto"/>
        <w:rPr>
          <w:rFonts w:ascii="Times New Roman" w:eastAsia="Times New Roman" w:hAnsi="Times New Roman" w:cs="Times New Roman"/>
          <w:b/>
          <w:bCs/>
          <w:sz w:val="24"/>
        </w:rPr>
      </w:pPr>
      <w:r>
        <w:rPr>
          <w:rFonts w:ascii="Times New Roman" w:eastAsia="Times New Roman" w:hAnsi="Times New Roman" w:cs="Times New Roman"/>
          <w:b/>
          <w:bCs/>
          <w:sz w:val="24"/>
        </w:rPr>
        <w:t>3.2 Group 2: Cd Only (30 mg/kg)</w:t>
      </w:r>
    </w:p>
    <w:p w14:paraId="35E98855"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Sections from Cd-treated animals showed mild histoarchitectural alterations were observed, including neuronal swelling, cytoplasmic expansion, and localized disorganization.  The cortical layers were relatively preserved but exhibited localized disorganization and cytoplasmic expansion in certain regions (Figure 2). These changes are indicative of early-stage neurotoxic stress and are consistent with Cd-induced excitotoxicity and oxidative damage.</w:t>
      </w:r>
    </w:p>
    <w:p w14:paraId="5B1FE6BD" w14:textId="77777777" w:rsidR="00023120" w:rsidRPr="00BE2D0C" w:rsidRDefault="00317DC3" w:rsidP="00BE2D0C">
      <w:pPr>
        <w:spacing w:line="276" w:lineRule="auto"/>
        <w:rPr>
          <w:rFonts w:ascii="Times New Roman" w:eastAsia="Times New Roman" w:hAnsi="Times New Roman" w:cs="Times New Roman"/>
          <w:b/>
          <w:bCs/>
          <w:sz w:val="24"/>
        </w:rPr>
      </w:pPr>
      <w:r>
        <w:rPr>
          <w:rFonts w:ascii="Times New Roman" w:eastAsia="Times New Roman" w:hAnsi="Times New Roman" w:cs="Times New Roman"/>
          <w:b/>
          <w:bCs/>
          <w:sz w:val="24"/>
        </w:rPr>
        <w:t xml:space="preserve">3.3 Group 3: Cd + </w:t>
      </w:r>
      <w:r>
        <w:rPr>
          <w:rFonts w:ascii="Times New Roman" w:eastAsia="Times New Roman" w:hAnsi="Times New Roman" w:cs="Times New Roman"/>
          <w:b/>
          <w:bCs/>
          <w:i/>
          <w:iCs/>
          <w:sz w:val="24"/>
        </w:rPr>
        <w:t>Datura stramonium</w:t>
      </w:r>
      <w:r>
        <w:rPr>
          <w:rFonts w:ascii="Times New Roman" w:eastAsia="Times New Roman" w:hAnsi="Times New Roman" w:cs="Times New Roman"/>
          <w:b/>
          <w:bCs/>
          <w:sz w:val="24"/>
        </w:rPr>
        <w:t xml:space="preserve"> (200 mg/kg)</w:t>
      </w:r>
    </w:p>
    <w:p w14:paraId="71E3D3E6"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Animals co-treated with Cd and </w:t>
      </w:r>
      <w:r>
        <w:rPr>
          <w:rFonts w:ascii="Times New Roman" w:eastAsia="Times New Roman" w:hAnsi="Times New Roman" w:cs="Times New Roman"/>
          <w:i/>
          <w:iCs/>
          <w:sz w:val="24"/>
        </w:rPr>
        <w:t>Datura stramonium</w:t>
      </w:r>
      <w:r>
        <w:rPr>
          <w:rFonts w:ascii="Times New Roman" w:eastAsia="Times New Roman" w:hAnsi="Times New Roman" w:cs="Times New Roman"/>
          <w:sz w:val="24"/>
        </w:rPr>
        <w:t xml:space="preserve"> at 200 mg/kg demonstrated substantial </w:t>
      </w:r>
      <w:r>
        <w:rPr>
          <w:rFonts w:ascii="Times New Roman" w:eastAsia="Times New Roman" w:hAnsi="Times New Roman" w:cs="Times New Roman"/>
          <w:b/>
          <w:bCs/>
          <w:sz w:val="24"/>
        </w:rPr>
        <w:t>histological preservation</w:t>
      </w:r>
      <w:r>
        <w:rPr>
          <w:rFonts w:ascii="Times New Roman" w:eastAsia="Times New Roman" w:hAnsi="Times New Roman" w:cs="Times New Roman"/>
          <w:sz w:val="24"/>
        </w:rPr>
        <w:t>. Neurons appeared morphologically normal, with clear cytoplasm and well-defined nuclei (Figure 3). Cortical lamination remained intact, and there were no visible signs of hypertrophy, pyknosis, or vacuolation. These features are consistent with morphological preservation at this dosage, suggesting but not confirming a modulatory influence of Datura stramonium on Cd-related cortical injury.</w:t>
      </w:r>
    </w:p>
    <w:p w14:paraId="4C450654" w14:textId="77777777" w:rsidR="00023120" w:rsidRPr="00BE2D0C" w:rsidRDefault="00317DC3" w:rsidP="00BE2D0C">
      <w:pPr>
        <w:spacing w:line="276" w:lineRule="auto"/>
        <w:rPr>
          <w:rFonts w:ascii="Times New Roman" w:eastAsia="Times New Roman" w:hAnsi="Times New Roman" w:cs="Times New Roman"/>
          <w:b/>
          <w:bCs/>
          <w:sz w:val="24"/>
        </w:rPr>
      </w:pPr>
      <w:r>
        <w:rPr>
          <w:rFonts w:ascii="Times New Roman" w:eastAsia="Times New Roman" w:hAnsi="Times New Roman" w:cs="Times New Roman"/>
          <w:b/>
          <w:bCs/>
          <w:sz w:val="24"/>
        </w:rPr>
        <w:t xml:space="preserve">3.4 Group 4: Cd + </w:t>
      </w:r>
      <w:r>
        <w:rPr>
          <w:rFonts w:ascii="Times New Roman" w:eastAsia="Times New Roman" w:hAnsi="Times New Roman" w:cs="Times New Roman"/>
          <w:b/>
          <w:bCs/>
          <w:i/>
          <w:iCs/>
          <w:sz w:val="24"/>
        </w:rPr>
        <w:t>Datura stramonium</w:t>
      </w:r>
      <w:r>
        <w:rPr>
          <w:rFonts w:ascii="Times New Roman" w:eastAsia="Times New Roman" w:hAnsi="Times New Roman" w:cs="Times New Roman"/>
          <w:b/>
          <w:bCs/>
          <w:sz w:val="24"/>
        </w:rPr>
        <w:t xml:space="preserve"> (100 mg/kg)</w:t>
      </w:r>
    </w:p>
    <w:p w14:paraId="0F10B463"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In this group, </w:t>
      </w:r>
      <w:r>
        <w:rPr>
          <w:rFonts w:ascii="Times New Roman" w:eastAsia="Times New Roman" w:hAnsi="Times New Roman" w:cs="Times New Roman"/>
          <w:b/>
          <w:bCs/>
          <w:sz w:val="24"/>
        </w:rPr>
        <w:t>mild pyknosis</w:t>
      </w:r>
      <w:r>
        <w:rPr>
          <w:rFonts w:ascii="Times New Roman" w:eastAsia="Times New Roman" w:hAnsi="Times New Roman" w:cs="Times New Roman"/>
          <w:sz w:val="24"/>
        </w:rPr>
        <w:t xml:space="preserve"> was observed in a subset of cortical neurons, characterized by nuclear condensation and reduced cytoplasmic volume (Figure 4). Although overall cortical architecture remained moderately organized, some regions showed slight neuronal shrinkage and nuclear irregularity. These findings indicate partial morphological preservation at the lower dose, though not as effective as the 200 mg/kg treatment.</w:t>
      </w:r>
    </w:p>
    <w:p w14:paraId="0EE4F4B6" w14:textId="77777777" w:rsidR="00023120" w:rsidRPr="00BE2D0C" w:rsidRDefault="00317DC3" w:rsidP="00BE2D0C">
      <w:pPr>
        <w:spacing w:line="276" w:lineRule="auto"/>
        <w:rPr>
          <w:rFonts w:ascii="Times New Roman" w:eastAsia="Times New Roman" w:hAnsi="Times New Roman" w:cs="Times New Roman"/>
          <w:b/>
          <w:bCs/>
          <w:sz w:val="24"/>
        </w:rPr>
      </w:pPr>
      <w:r>
        <w:rPr>
          <w:rFonts w:ascii="Times New Roman" w:eastAsia="Times New Roman" w:hAnsi="Times New Roman" w:cs="Times New Roman"/>
          <w:b/>
          <w:bCs/>
          <w:sz w:val="24"/>
        </w:rPr>
        <w:t>3.5 Group 5: DS-only (200 mg/kg)</w:t>
      </w:r>
    </w:p>
    <w:p w14:paraId="008CAD2F"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Rats administered </w:t>
      </w:r>
      <w:r>
        <w:rPr>
          <w:rFonts w:ascii="Times New Roman" w:eastAsia="Times New Roman" w:hAnsi="Times New Roman" w:cs="Times New Roman"/>
          <w:i/>
          <w:iCs/>
          <w:sz w:val="24"/>
        </w:rPr>
        <w:t>Datura stramonium</w:t>
      </w:r>
      <w:r>
        <w:rPr>
          <w:rFonts w:ascii="Times New Roman" w:eastAsia="Times New Roman" w:hAnsi="Times New Roman" w:cs="Times New Roman"/>
          <w:sz w:val="24"/>
        </w:rPr>
        <w:t xml:space="preserve"> extract alone at 200 mg/kg exhibited </w:t>
      </w:r>
      <w:r>
        <w:rPr>
          <w:rFonts w:ascii="Times New Roman" w:eastAsia="Times New Roman" w:hAnsi="Times New Roman" w:cs="Times New Roman"/>
          <w:b/>
          <w:bCs/>
          <w:sz w:val="24"/>
        </w:rPr>
        <w:t>severe pyknosis</w:t>
      </w:r>
      <w:r>
        <w:rPr>
          <w:rFonts w:ascii="Times New Roman" w:eastAsia="Times New Roman" w:hAnsi="Times New Roman" w:cs="Times New Roman"/>
          <w:sz w:val="24"/>
        </w:rPr>
        <w:t xml:space="preserve"> across multiple cortical fields (Figure 5). Numerous neurons showed hyperchromatic, shrunken nuclei, and disrupted cytoplasmic boundaries, consistent with apoptotic or necrotic degeneration. This pattern suggests that high-dose </w:t>
      </w:r>
      <w:r>
        <w:rPr>
          <w:rFonts w:ascii="Times New Roman" w:eastAsia="Times New Roman" w:hAnsi="Times New Roman" w:cs="Times New Roman"/>
          <w:i/>
          <w:iCs/>
          <w:sz w:val="24"/>
        </w:rPr>
        <w:t>Datura stramonium</w:t>
      </w:r>
      <w:r>
        <w:rPr>
          <w:rFonts w:ascii="Times New Roman" w:eastAsia="Times New Roman" w:hAnsi="Times New Roman" w:cs="Times New Roman"/>
          <w:sz w:val="24"/>
        </w:rPr>
        <w:t>, in the absence of Cd, may exert intrinsic neurotoxic effects on cortical tissue.</w:t>
      </w:r>
    </w:p>
    <w:p w14:paraId="202033C1" w14:textId="77777777" w:rsidR="00BE2D0C" w:rsidRDefault="00BE2D0C">
      <w:pPr>
        <w:spacing w:line="480" w:lineRule="auto"/>
        <w:rPr>
          <w:rFonts w:ascii="Times New Roman" w:eastAsia="Times New Roman" w:hAnsi="Times New Roman" w:cs="Times New Roman"/>
          <w:b/>
          <w:bCs/>
        </w:rPr>
        <w:sectPr w:rsidR="00BE2D0C" w:rsidSect="00BE2D0C">
          <w:type w:val="continuous"/>
          <w:pgSz w:w="11906" w:h="16838"/>
          <w:pgMar w:top="142" w:right="1440" w:bottom="0" w:left="1440" w:header="708" w:footer="708" w:gutter="0"/>
          <w:pgNumType w:start="1"/>
          <w:cols w:num="2" w:space="720"/>
        </w:sectPr>
      </w:pPr>
    </w:p>
    <w:p w14:paraId="2FDC86FE" w14:textId="779B6936" w:rsidR="00023120" w:rsidRDefault="00317DC3">
      <w:pPr>
        <w:spacing w:line="480" w:lineRule="auto"/>
        <w:rPr>
          <w:rFonts w:ascii="Times New Roman" w:eastAsia="Times New Roman" w:hAnsi="Times New Roman" w:cs="Times New Roman"/>
          <w:b/>
          <w:bCs/>
        </w:rPr>
      </w:pPr>
      <w:r>
        <w:rPr>
          <w:rFonts w:ascii="Times New Roman" w:eastAsia="Times New Roman" w:hAnsi="Times New Roman" w:cs="Times New Roman"/>
          <w:b/>
          <w:bCs/>
        </w:rPr>
        <w:t>Figure Legends</w:t>
      </w:r>
    </w:p>
    <w:p w14:paraId="3A338A7A" w14:textId="77777777" w:rsidR="00023120" w:rsidRDefault="00317DC3">
      <w:pPr>
        <w:spacing w:line="480" w:lineRule="auto"/>
        <w:rPr>
          <w:rFonts w:ascii="Times New Roman" w:eastAsia="Times New Roman" w:hAnsi="Times New Roman" w:cs="Times New Roman"/>
          <w:b/>
          <w:bCs/>
        </w:rPr>
      </w:pPr>
      <w:r>
        <w:rPr>
          <w:rFonts w:ascii="Times New Roman" w:eastAsia="Times New Roman" w:hAnsi="Times New Roman" w:cs="Times New Roman"/>
          <w:b/>
          <w:bCs/>
          <w:noProof/>
        </w:rPr>
        <w:drawing>
          <wp:inline distT="0" distB="0" distL="0" distR="0" wp14:anchorId="6245317B" wp14:editId="13883119">
            <wp:extent cx="5731510" cy="3833494"/>
            <wp:effectExtent l="0" t="0" r="0" b="0"/>
            <wp:docPr id="1026" name="image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1" cstate="print"/>
                    <a:srcRect/>
                    <a:stretch/>
                  </pic:blipFill>
                  <pic:spPr>
                    <a:xfrm>
                      <a:off x="0" y="0"/>
                      <a:ext cx="5731510" cy="3833494"/>
                    </a:xfrm>
                    <a:prstGeom prst="rect">
                      <a:avLst/>
                    </a:prstGeom>
                    <a:ln w="9525" cap="flat" cmpd="sng">
                      <a:solidFill>
                        <a:srgbClr val="000000"/>
                      </a:solidFill>
                      <a:prstDash val="solid"/>
                      <a:round/>
                      <a:headEnd type="none" w="med" len="med"/>
                      <a:tailEnd type="none" w="med" len="med"/>
                    </a:ln>
                  </pic:spPr>
                </pic:pic>
              </a:graphicData>
            </a:graphic>
          </wp:inline>
        </w:drawing>
      </w:r>
    </w:p>
    <w:p w14:paraId="6654453E" w14:textId="77777777" w:rsidR="00023120" w:rsidRDefault="00317DC3">
      <w:pPr>
        <w:spacing w:line="480" w:lineRule="auto"/>
        <w:rPr>
          <w:rFonts w:ascii="Times New Roman" w:eastAsia="Times New Roman" w:hAnsi="Times New Roman" w:cs="Times New Roman"/>
        </w:rPr>
      </w:pPr>
      <w:r>
        <w:rPr>
          <w:rFonts w:ascii="Times New Roman" w:eastAsia="Times New Roman" w:hAnsi="Times New Roman" w:cs="Times New Roman"/>
          <w:b/>
          <w:bCs/>
        </w:rPr>
        <w:t>Figure 1</w:t>
      </w:r>
      <w:r>
        <w:rPr>
          <w:rFonts w:ascii="Times New Roman" w:eastAsia="Times New Roman" w:hAnsi="Times New Roman" w:cs="Times New Roman"/>
        </w:rPr>
        <w:t>: Photomicrograph of the cerebral cortex from the control group showing intact laminar organization (Layers II–VI) and normal pyramidal neurons (arrows) with vesicular nuclei and preserved neuropil (H&amp;E, ×400; scale bar = 50 µm).</w:t>
      </w:r>
    </w:p>
    <w:p w14:paraId="49F158A7" w14:textId="77777777" w:rsidR="00023120" w:rsidRDefault="00317DC3" w:rsidP="00BE2D0C">
      <w:pPr>
        <w:spacing w:line="276"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6AD057C2" wp14:editId="55C398D9">
            <wp:extent cx="5731510" cy="3692525"/>
            <wp:effectExtent l="0" t="0" r="0" b="0"/>
            <wp:docPr id="1027" name="image1.png" descr="A microscope view of a purple and white ce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2" cstate="print"/>
                    <a:srcRect/>
                    <a:stretch/>
                  </pic:blipFill>
                  <pic:spPr>
                    <a:xfrm>
                      <a:off x="0" y="0"/>
                      <a:ext cx="5731510" cy="3692525"/>
                    </a:xfrm>
                    <a:prstGeom prst="rect">
                      <a:avLst/>
                    </a:prstGeom>
                    <a:ln w="9525" cap="flat" cmpd="sng">
                      <a:solidFill>
                        <a:srgbClr val="000000"/>
                      </a:solidFill>
                      <a:prstDash val="solid"/>
                      <a:round/>
                      <a:headEnd type="none" w="med" len="med"/>
                      <a:tailEnd type="none" w="med" len="med"/>
                    </a:ln>
                  </pic:spPr>
                </pic:pic>
              </a:graphicData>
            </a:graphic>
          </wp:inline>
        </w:drawing>
      </w:r>
    </w:p>
    <w:p w14:paraId="4AE2E58B" w14:textId="77777777" w:rsidR="00023120" w:rsidRDefault="00317DC3" w:rsidP="00BE2D0C">
      <w:pPr>
        <w:spacing w:line="276" w:lineRule="auto"/>
        <w:rPr>
          <w:rFonts w:ascii="Times New Roman" w:eastAsia="Times New Roman" w:hAnsi="Times New Roman" w:cs="Times New Roman"/>
        </w:rPr>
      </w:pPr>
      <w:r>
        <w:rPr>
          <w:rFonts w:ascii="Times New Roman" w:eastAsia="Times New Roman" w:hAnsi="Times New Roman" w:cs="Times New Roman"/>
          <w:b/>
          <w:bCs/>
        </w:rPr>
        <w:t>Figure 2</w:t>
      </w:r>
      <w:r>
        <w:rPr>
          <w:rFonts w:ascii="Times New Roman" w:eastAsia="Times New Roman" w:hAnsi="Times New Roman" w:cs="Times New Roman"/>
        </w:rPr>
        <w:t>: Cerebral cortex of Cd-only group displaying mild to moderate neuronal hypertrophy, cytoplasmic vacuolation, and localized laminar disorganization (arrows). Pyramidal neurons exhibit enlarged somata and condensed nuclei consistent with early neurotoxic stress (H&amp;E, ×400; scale bar = 50 µm).</w:t>
      </w:r>
    </w:p>
    <w:p w14:paraId="7D8CEE64" w14:textId="77777777" w:rsidR="00023120" w:rsidRDefault="00317DC3">
      <w:pPr>
        <w:spacing w:line="480"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4BCBA1E9" wp14:editId="5E0F42C1">
            <wp:extent cx="5731510" cy="3268345"/>
            <wp:effectExtent l="0" t="0" r="0" b="0"/>
            <wp:docPr id="1028" name="image2.png" descr="A close-up of a microscop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3" cstate="print"/>
                    <a:srcRect/>
                    <a:stretch/>
                  </pic:blipFill>
                  <pic:spPr>
                    <a:xfrm>
                      <a:off x="0" y="0"/>
                      <a:ext cx="5731510" cy="3268345"/>
                    </a:xfrm>
                    <a:prstGeom prst="rect">
                      <a:avLst/>
                    </a:prstGeom>
                    <a:ln w="9525" cap="flat" cmpd="sng">
                      <a:solidFill>
                        <a:srgbClr val="000000"/>
                      </a:solidFill>
                      <a:prstDash val="solid"/>
                      <a:round/>
                      <a:headEnd type="none" w="med" len="med"/>
                      <a:tailEnd type="none" w="med" len="med"/>
                    </a:ln>
                  </pic:spPr>
                </pic:pic>
              </a:graphicData>
            </a:graphic>
          </wp:inline>
        </w:drawing>
      </w:r>
    </w:p>
    <w:p w14:paraId="22A27DEC" w14:textId="77777777" w:rsidR="00023120" w:rsidRDefault="00317DC3" w:rsidP="00BE2D0C">
      <w:pPr>
        <w:spacing w:line="276" w:lineRule="auto"/>
        <w:rPr>
          <w:rFonts w:ascii="Times New Roman" w:eastAsia="Times New Roman" w:hAnsi="Times New Roman" w:cs="Times New Roman"/>
        </w:rPr>
      </w:pPr>
      <w:r>
        <w:rPr>
          <w:rFonts w:ascii="Times New Roman" w:eastAsia="Times New Roman" w:hAnsi="Times New Roman" w:cs="Times New Roman"/>
          <w:b/>
          <w:bCs/>
        </w:rPr>
        <w:t>Figure 3</w:t>
      </w:r>
      <w:r>
        <w:rPr>
          <w:rFonts w:ascii="Times New Roman" w:eastAsia="Times New Roman" w:hAnsi="Times New Roman" w:cs="Times New Roman"/>
        </w:rPr>
        <w:t>: Cerebral cortex of rats co-treated with Cd and Datura stramonium extract (200 mg/kg) showing well-preserved cortical lamination and normal pyramidal neuronal morphology (arrows). No visible vacuolation or pyknosis is evident, indicating structural preservation (H&amp;E, ×400; scale bar = 50 µm).</w:t>
      </w:r>
    </w:p>
    <w:p w14:paraId="4EC5897F" w14:textId="77777777" w:rsidR="00023120" w:rsidRDefault="00317DC3">
      <w:pPr>
        <w:spacing w:line="480"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A80E186" wp14:editId="0D588B61">
            <wp:extent cx="5731510" cy="3644265"/>
            <wp:effectExtent l="0" t="0" r="0" b="0"/>
            <wp:docPr id="1029" name="image3.png" descr="A close-up of a pink surfac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r:embed="rId14" cstate="print"/>
                    <a:srcRect/>
                    <a:stretch/>
                  </pic:blipFill>
                  <pic:spPr>
                    <a:xfrm>
                      <a:off x="0" y="0"/>
                      <a:ext cx="5731510" cy="3644265"/>
                    </a:xfrm>
                    <a:prstGeom prst="rect">
                      <a:avLst/>
                    </a:prstGeom>
                    <a:ln w="9525" cap="flat" cmpd="sng">
                      <a:solidFill>
                        <a:srgbClr val="000000"/>
                      </a:solidFill>
                      <a:prstDash val="solid"/>
                      <a:round/>
                      <a:headEnd type="none" w="med" len="med"/>
                      <a:tailEnd type="none" w="med" len="med"/>
                    </a:ln>
                  </pic:spPr>
                </pic:pic>
              </a:graphicData>
            </a:graphic>
          </wp:inline>
        </w:drawing>
      </w:r>
    </w:p>
    <w:p w14:paraId="0B38A0E9" w14:textId="77777777" w:rsidR="00023120" w:rsidRDefault="00317DC3" w:rsidP="00BE2D0C">
      <w:pPr>
        <w:spacing w:line="276" w:lineRule="auto"/>
        <w:rPr>
          <w:rFonts w:ascii="Times New Roman" w:eastAsia="Times New Roman" w:hAnsi="Times New Roman" w:cs="Times New Roman"/>
        </w:rPr>
      </w:pPr>
      <w:r>
        <w:rPr>
          <w:rFonts w:ascii="Times New Roman" w:eastAsia="Times New Roman" w:hAnsi="Times New Roman" w:cs="Times New Roman"/>
          <w:b/>
          <w:bCs/>
        </w:rPr>
        <w:t>Figure 4</w:t>
      </w:r>
      <w:r>
        <w:rPr>
          <w:rFonts w:ascii="Times New Roman" w:eastAsia="Times New Roman" w:hAnsi="Times New Roman" w:cs="Times New Roman"/>
        </w:rPr>
        <w:t xml:space="preserve">: Cerebral cortex of Cd + </w:t>
      </w:r>
      <w:r>
        <w:rPr>
          <w:rFonts w:ascii="Times New Roman" w:eastAsia="Times New Roman" w:hAnsi="Times New Roman" w:cs="Times New Roman"/>
          <w:i/>
          <w:iCs/>
        </w:rPr>
        <w:t>Datura stramonium</w:t>
      </w:r>
      <w:r>
        <w:rPr>
          <w:rFonts w:ascii="Times New Roman" w:eastAsia="Times New Roman" w:hAnsi="Times New Roman" w:cs="Times New Roman"/>
        </w:rPr>
        <w:t xml:space="preserve"> (100 mg/kg) group exhibiting mild nuclear pyknosis (arrows) and focal neuronal shrinkage. Cortical layers remain moderately organized with only minimal cytoplasmic irregularities (H&amp;E, ×400; scale bar = 50 µm).</w:t>
      </w:r>
    </w:p>
    <w:p w14:paraId="1681C0F8" w14:textId="77777777" w:rsidR="00023120" w:rsidRDefault="00317DC3">
      <w:pPr>
        <w:spacing w:line="480"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8E7B679" wp14:editId="0C4FF635">
            <wp:extent cx="5667375" cy="3524250"/>
            <wp:effectExtent l="0" t="0" r="0" b="0"/>
            <wp:docPr id="1030" name="image4.png" descr="A microscope view of a pink surface with black arrow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5" cstate="print"/>
                    <a:srcRect/>
                    <a:stretch/>
                  </pic:blipFill>
                  <pic:spPr>
                    <a:xfrm>
                      <a:off x="0" y="0"/>
                      <a:ext cx="5667375" cy="3524250"/>
                    </a:xfrm>
                    <a:prstGeom prst="rect">
                      <a:avLst/>
                    </a:prstGeom>
                    <a:ln w="9525" cap="flat" cmpd="sng">
                      <a:solidFill>
                        <a:srgbClr val="000000"/>
                      </a:solidFill>
                      <a:prstDash val="solid"/>
                      <a:round/>
                      <a:headEnd type="none" w="med" len="med"/>
                      <a:tailEnd type="none" w="med" len="med"/>
                    </a:ln>
                  </pic:spPr>
                </pic:pic>
              </a:graphicData>
            </a:graphic>
          </wp:inline>
        </w:drawing>
      </w:r>
    </w:p>
    <w:p w14:paraId="0AD4B806" w14:textId="77777777" w:rsidR="00023120" w:rsidRDefault="00317DC3" w:rsidP="00BE2D0C">
      <w:pPr>
        <w:spacing w:line="276" w:lineRule="auto"/>
        <w:rPr>
          <w:rFonts w:ascii="Times New Roman" w:eastAsia="Times New Roman" w:hAnsi="Times New Roman" w:cs="Times New Roman"/>
        </w:rPr>
      </w:pPr>
      <w:r>
        <w:rPr>
          <w:rFonts w:ascii="Times New Roman" w:eastAsia="Times New Roman" w:hAnsi="Times New Roman" w:cs="Times New Roman"/>
          <w:b/>
          <w:bCs/>
        </w:rPr>
        <w:t>Figure 5</w:t>
      </w:r>
      <w:r>
        <w:rPr>
          <w:rFonts w:ascii="Times New Roman" w:eastAsia="Times New Roman" w:hAnsi="Times New Roman" w:cs="Times New Roman"/>
        </w:rPr>
        <w:t>: Cerebral cortex of DS-only (200 mg/kg) group showing widespread pyknosis (arrows), hyperchromatic shrunken neurons, and disrupted cytoplasmic boundaries indicating severe degenerative changes (H&amp;E, ×400; scale bar = 50 µm).</w:t>
      </w:r>
    </w:p>
    <w:p w14:paraId="74DDA270" w14:textId="77777777" w:rsidR="00BE2D0C" w:rsidRDefault="00BE2D0C" w:rsidP="00BE2D0C">
      <w:pPr>
        <w:spacing w:line="276" w:lineRule="auto"/>
        <w:rPr>
          <w:rFonts w:ascii="Times New Roman" w:eastAsia="Times New Roman" w:hAnsi="Times New Roman" w:cs="Times New Roman"/>
        </w:rPr>
      </w:pPr>
    </w:p>
    <w:p w14:paraId="1DA46E10" w14:textId="77777777" w:rsidR="00023120" w:rsidRDefault="00317DC3" w:rsidP="00BE2D0C">
      <w:pPr>
        <w:spacing w:line="240" w:lineRule="auto"/>
        <w:rPr>
          <w:rFonts w:ascii="Times New Roman" w:eastAsia="Times New Roman" w:hAnsi="Times New Roman" w:cs="Times New Roman"/>
          <w:b/>
          <w:bCs/>
        </w:rPr>
      </w:pPr>
      <w:r>
        <w:rPr>
          <w:rFonts w:ascii="Times New Roman" w:eastAsia="Times New Roman" w:hAnsi="Times New Roman" w:cs="Times New Roman"/>
          <w:b/>
          <w:bCs/>
        </w:rPr>
        <w:t>Table 1: Summary of Histological Findings by Experimental Group</w:t>
      </w:r>
    </w:p>
    <w:tbl>
      <w:tblPr>
        <w:tblStyle w:val="1"/>
        <w:tblW w:w="9016"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3005"/>
        <w:gridCol w:w="4083"/>
        <w:gridCol w:w="1928"/>
      </w:tblGrid>
      <w:tr w:rsidR="00023120" w14:paraId="08274F25" w14:textId="77777777">
        <w:tc>
          <w:tcPr>
            <w:tcW w:w="3005" w:type="dxa"/>
            <w:tcBorders>
              <w:top w:val="single" w:sz="4" w:space="0" w:color="000000"/>
              <w:bottom w:val="single" w:sz="4" w:space="0" w:color="000000"/>
            </w:tcBorders>
          </w:tcPr>
          <w:p w14:paraId="481F11E9" w14:textId="77777777" w:rsidR="00023120" w:rsidRDefault="00317DC3" w:rsidP="00BE2D0C">
            <w:pPr>
              <w:rPr>
                <w:rFonts w:ascii="Times New Roman" w:eastAsia="Times New Roman" w:hAnsi="Times New Roman" w:cs="Times New Roman"/>
                <w:b/>
                <w:bCs/>
              </w:rPr>
            </w:pPr>
            <w:r>
              <w:rPr>
                <w:rFonts w:ascii="Times New Roman" w:eastAsia="Times New Roman" w:hAnsi="Times New Roman" w:cs="Times New Roman"/>
                <w:b/>
                <w:bCs/>
              </w:rPr>
              <w:t>Group</w:t>
            </w:r>
          </w:p>
        </w:tc>
        <w:tc>
          <w:tcPr>
            <w:tcW w:w="4083" w:type="dxa"/>
            <w:tcBorders>
              <w:top w:val="single" w:sz="4" w:space="0" w:color="000000"/>
              <w:bottom w:val="single" w:sz="4" w:space="0" w:color="000000"/>
            </w:tcBorders>
          </w:tcPr>
          <w:p w14:paraId="6AFEF707" w14:textId="77777777" w:rsidR="00023120" w:rsidRDefault="00317DC3" w:rsidP="00BE2D0C">
            <w:pPr>
              <w:rPr>
                <w:rFonts w:ascii="Times New Roman" w:eastAsia="Times New Roman" w:hAnsi="Times New Roman" w:cs="Times New Roman"/>
                <w:b/>
                <w:bCs/>
              </w:rPr>
            </w:pPr>
            <w:r>
              <w:rPr>
                <w:rFonts w:ascii="Times New Roman" w:eastAsia="Times New Roman" w:hAnsi="Times New Roman" w:cs="Times New Roman"/>
                <w:b/>
                <w:bCs/>
              </w:rPr>
              <w:t>Histological Findings</w:t>
            </w:r>
          </w:p>
        </w:tc>
        <w:tc>
          <w:tcPr>
            <w:tcW w:w="1928" w:type="dxa"/>
            <w:tcBorders>
              <w:top w:val="single" w:sz="4" w:space="0" w:color="000000"/>
              <w:bottom w:val="single" w:sz="4" w:space="0" w:color="000000"/>
            </w:tcBorders>
          </w:tcPr>
          <w:p w14:paraId="5257AA26" w14:textId="77777777" w:rsidR="00023120" w:rsidRDefault="00317DC3" w:rsidP="00BE2D0C">
            <w:pPr>
              <w:rPr>
                <w:rFonts w:ascii="Times New Roman" w:eastAsia="Times New Roman" w:hAnsi="Times New Roman" w:cs="Times New Roman"/>
                <w:b/>
                <w:bCs/>
              </w:rPr>
            </w:pPr>
            <w:r>
              <w:rPr>
                <w:rFonts w:ascii="Times New Roman" w:eastAsia="Times New Roman" w:hAnsi="Times New Roman" w:cs="Times New Roman"/>
                <w:b/>
                <w:bCs/>
              </w:rPr>
              <w:t>Severity of Degeneration</w:t>
            </w:r>
          </w:p>
        </w:tc>
      </w:tr>
      <w:tr w:rsidR="00023120" w14:paraId="1C58E8CA" w14:textId="77777777">
        <w:tc>
          <w:tcPr>
            <w:tcW w:w="3005" w:type="dxa"/>
            <w:tcBorders>
              <w:top w:val="single" w:sz="4" w:space="0" w:color="000000"/>
            </w:tcBorders>
          </w:tcPr>
          <w:p w14:paraId="67140206" w14:textId="77777777" w:rsidR="00023120" w:rsidRDefault="00317DC3" w:rsidP="00BE2D0C">
            <w:pPr>
              <w:rPr>
                <w:rFonts w:ascii="Times New Roman" w:eastAsia="Times New Roman" w:hAnsi="Times New Roman" w:cs="Times New Roman"/>
              </w:rPr>
            </w:pPr>
            <w:r>
              <w:rPr>
                <w:rFonts w:ascii="Times New Roman" w:eastAsia="Times New Roman" w:hAnsi="Times New Roman" w:cs="Times New Roman"/>
              </w:rPr>
              <w:t>Control</w:t>
            </w:r>
          </w:p>
        </w:tc>
        <w:tc>
          <w:tcPr>
            <w:tcW w:w="4083" w:type="dxa"/>
            <w:tcBorders>
              <w:top w:val="single" w:sz="4" w:space="0" w:color="000000"/>
            </w:tcBorders>
          </w:tcPr>
          <w:p w14:paraId="059E9A3E" w14:textId="77777777" w:rsidR="00023120" w:rsidRDefault="00317DC3" w:rsidP="00BE2D0C">
            <w:pPr>
              <w:rPr>
                <w:rFonts w:ascii="Times New Roman" w:eastAsia="Times New Roman" w:hAnsi="Times New Roman" w:cs="Times New Roman"/>
              </w:rPr>
            </w:pPr>
            <w:r>
              <w:rPr>
                <w:rFonts w:ascii="Times New Roman" w:eastAsia="Times New Roman" w:hAnsi="Times New Roman" w:cs="Times New Roman"/>
              </w:rPr>
              <w:t>Normal neuronal morphology; intact cortical lamination; no signs of degeneration</w:t>
            </w:r>
          </w:p>
        </w:tc>
        <w:tc>
          <w:tcPr>
            <w:tcW w:w="1928" w:type="dxa"/>
            <w:tcBorders>
              <w:top w:val="single" w:sz="4" w:space="0" w:color="000000"/>
            </w:tcBorders>
          </w:tcPr>
          <w:p w14:paraId="308FEBE1" w14:textId="77777777" w:rsidR="00023120" w:rsidRDefault="00317DC3" w:rsidP="00BE2D0C">
            <w:pPr>
              <w:rPr>
                <w:rFonts w:ascii="Times New Roman" w:eastAsia="Times New Roman" w:hAnsi="Times New Roman" w:cs="Times New Roman"/>
              </w:rPr>
            </w:pPr>
            <w:r>
              <w:rPr>
                <w:rFonts w:ascii="Times New Roman" w:eastAsia="Times New Roman" w:hAnsi="Times New Roman" w:cs="Times New Roman"/>
              </w:rPr>
              <w:t>None</w:t>
            </w:r>
          </w:p>
        </w:tc>
      </w:tr>
      <w:tr w:rsidR="00023120" w14:paraId="18E4C527" w14:textId="77777777">
        <w:tc>
          <w:tcPr>
            <w:tcW w:w="3005" w:type="dxa"/>
          </w:tcPr>
          <w:p w14:paraId="19E73CE4" w14:textId="77777777" w:rsidR="00023120" w:rsidRDefault="00317DC3" w:rsidP="00BE2D0C">
            <w:pPr>
              <w:rPr>
                <w:rFonts w:ascii="Times New Roman" w:eastAsia="Times New Roman" w:hAnsi="Times New Roman" w:cs="Times New Roman"/>
              </w:rPr>
            </w:pPr>
            <w:r>
              <w:rPr>
                <w:rFonts w:ascii="Times New Roman" w:eastAsia="Times New Roman" w:hAnsi="Times New Roman" w:cs="Times New Roman"/>
              </w:rPr>
              <w:t>Cd (30 mg/kg)</w:t>
            </w:r>
          </w:p>
        </w:tc>
        <w:tc>
          <w:tcPr>
            <w:tcW w:w="4083" w:type="dxa"/>
          </w:tcPr>
          <w:p w14:paraId="5717B072" w14:textId="77777777" w:rsidR="00023120" w:rsidRDefault="00317DC3" w:rsidP="00BE2D0C">
            <w:pPr>
              <w:rPr>
                <w:rFonts w:ascii="Times New Roman" w:eastAsia="Times New Roman" w:hAnsi="Times New Roman" w:cs="Times New Roman"/>
              </w:rPr>
            </w:pPr>
            <w:r>
              <w:rPr>
                <w:rFonts w:ascii="Times New Roman" w:eastAsia="Times New Roman" w:hAnsi="Times New Roman" w:cs="Times New Roman"/>
              </w:rPr>
              <w:t>Mild neuronal hypertrophy; cytoplasmic expansion; early neurotoxic changes</w:t>
            </w:r>
          </w:p>
        </w:tc>
        <w:tc>
          <w:tcPr>
            <w:tcW w:w="1928" w:type="dxa"/>
          </w:tcPr>
          <w:p w14:paraId="42D8F967" w14:textId="77777777" w:rsidR="00023120" w:rsidRDefault="00317DC3" w:rsidP="00BE2D0C">
            <w:pPr>
              <w:rPr>
                <w:rFonts w:ascii="Times New Roman" w:eastAsia="Times New Roman" w:hAnsi="Times New Roman" w:cs="Times New Roman"/>
              </w:rPr>
            </w:pPr>
            <w:r>
              <w:rPr>
                <w:rFonts w:ascii="Times New Roman" w:eastAsia="Times New Roman" w:hAnsi="Times New Roman" w:cs="Times New Roman"/>
              </w:rPr>
              <w:t>Mild</w:t>
            </w:r>
          </w:p>
        </w:tc>
      </w:tr>
      <w:tr w:rsidR="00023120" w14:paraId="76AD9686" w14:textId="77777777">
        <w:tc>
          <w:tcPr>
            <w:tcW w:w="3005" w:type="dxa"/>
          </w:tcPr>
          <w:p w14:paraId="1B6C2FC1" w14:textId="77777777" w:rsidR="00023120" w:rsidRDefault="00317DC3" w:rsidP="00BE2D0C">
            <w:pPr>
              <w:rPr>
                <w:rFonts w:ascii="Times New Roman" w:eastAsia="Times New Roman" w:hAnsi="Times New Roman" w:cs="Times New Roman"/>
              </w:rPr>
            </w:pPr>
            <w:r>
              <w:rPr>
                <w:rFonts w:ascii="Times New Roman" w:eastAsia="Times New Roman" w:hAnsi="Times New Roman" w:cs="Times New Roman"/>
              </w:rPr>
              <w:t>Cd + Datura (200 mg/kg)</w:t>
            </w:r>
          </w:p>
        </w:tc>
        <w:tc>
          <w:tcPr>
            <w:tcW w:w="4083" w:type="dxa"/>
          </w:tcPr>
          <w:p w14:paraId="2070B6A3" w14:textId="77777777" w:rsidR="00023120" w:rsidRDefault="00317DC3" w:rsidP="00BE2D0C">
            <w:pPr>
              <w:rPr>
                <w:rFonts w:ascii="Times New Roman" w:eastAsia="Times New Roman" w:hAnsi="Times New Roman" w:cs="Times New Roman"/>
              </w:rPr>
            </w:pPr>
            <w:r>
              <w:rPr>
                <w:rFonts w:ascii="Times New Roman" w:eastAsia="Times New Roman" w:hAnsi="Times New Roman" w:cs="Times New Roman"/>
              </w:rPr>
              <w:t>Normal cortical architecture; preserved neurons; absence of pathological features</w:t>
            </w:r>
          </w:p>
        </w:tc>
        <w:tc>
          <w:tcPr>
            <w:tcW w:w="1928" w:type="dxa"/>
          </w:tcPr>
          <w:p w14:paraId="1F1B558C" w14:textId="77777777" w:rsidR="00023120" w:rsidRDefault="00317DC3" w:rsidP="00BE2D0C">
            <w:pPr>
              <w:rPr>
                <w:rFonts w:ascii="Times New Roman" w:eastAsia="Times New Roman" w:hAnsi="Times New Roman" w:cs="Times New Roman"/>
              </w:rPr>
            </w:pPr>
            <w:r>
              <w:rPr>
                <w:rFonts w:ascii="Times New Roman" w:eastAsia="Times New Roman" w:hAnsi="Times New Roman" w:cs="Times New Roman"/>
              </w:rPr>
              <w:t>None</w:t>
            </w:r>
          </w:p>
        </w:tc>
      </w:tr>
      <w:tr w:rsidR="00023120" w14:paraId="575264FC" w14:textId="77777777">
        <w:tc>
          <w:tcPr>
            <w:tcW w:w="3005" w:type="dxa"/>
          </w:tcPr>
          <w:p w14:paraId="7C749B7F" w14:textId="77777777" w:rsidR="00023120" w:rsidRDefault="00317DC3" w:rsidP="00BE2D0C">
            <w:pPr>
              <w:rPr>
                <w:rFonts w:ascii="Times New Roman" w:eastAsia="Times New Roman" w:hAnsi="Times New Roman" w:cs="Times New Roman"/>
              </w:rPr>
            </w:pPr>
            <w:r>
              <w:rPr>
                <w:rFonts w:ascii="Times New Roman" w:eastAsia="Times New Roman" w:hAnsi="Times New Roman" w:cs="Times New Roman"/>
              </w:rPr>
              <w:t>Cd + Datura (100 mg/kg)</w:t>
            </w:r>
          </w:p>
        </w:tc>
        <w:tc>
          <w:tcPr>
            <w:tcW w:w="4083" w:type="dxa"/>
          </w:tcPr>
          <w:p w14:paraId="207E4B0E" w14:textId="77777777" w:rsidR="00023120" w:rsidRDefault="00317DC3" w:rsidP="00BE2D0C">
            <w:pPr>
              <w:rPr>
                <w:rFonts w:ascii="Times New Roman" w:eastAsia="Times New Roman" w:hAnsi="Times New Roman" w:cs="Times New Roman"/>
              </w:rPr>
            </w:pPr>
            <w:r>
              <w:rPr>
                <w:rFonts w:ascii="Times New Roman" w:eastAsia="Times New Roman" w:hAnsi="Times New Roman" w:cs="Times New Roman"/>
              </w:rPr>
              <w:t>Mild pyknosis; partial preservation; some neuronal stress indicators</w:t>
            </w:r>
          </w:p>
        </w:tc>
        <w:tc>
          <w:tcPr>
            <w:tcW w:w="1928" w:type="dxa"/>
          </w:tcPr>
          <w:p w14:paraId="28120B90" w14:textId="77777777" w:rsidR="00023120" w:rsidRDefault="00317DC3" w:rsidP="00BE2D0C">
            <w:pPr>
              <w:ind w:right="-310"/>
              <w:rPr>
                <w:rFonts w:ascii="Times New Roman" w:eastAsia="Times New Roman" w:hAnsi="Times New Roman" w:cs="Times New Roman"/>
              </w:rPr>
            </w:pPr>
            <w:r>
              <w:rPr>
                <w:rFonts w:ascii="Times New Roman" w:eastAsia="Times New Roman" w:hAnsi="Times New Roman" w:cs="Times New Roman"/>
              </w:rPr>
              <w:t>Mild to Moderate</w:t>
            </w:r>
          </w:p>
        </w:tc>
      </w:tr>
      <w:tr w:rsidR="00023120" w14:paraId="226E6965" w14:textId="77777777">
        <w:tc>
          <w:tcPr>
            <w:tcW w:w="3005" w:type="dxa"/>
          </w:tcPr>
          <w:p w14:paraId="0EF8F0F1" w14:textId="77777777" w:rsidR="00023120" w:rsidRDefault="00317DC3" w:rsidP="00BE2D0C">
            <w:pPr>
              <w:rPr>
                <w:rFonts w:ascii="Times New Roman" w:eastAsia="Times New Roman" w:hAnsi="Times New Roman" w:cs="Times New Roman"/>
              </w:rPr>
            </w:pPr>
            <w:r>
              <w:rPr>
                <w:rFonts w:ascii="Times New Roman" w:eastAsia="Times New Roman" w:hAnsi="Times New Roman" w:cs="Times New Roman"/>
              </w:rPr>
              <w:t>DS-only (200 mg/kg)</w:t>
            </w:r>
          </w:p>
        </w:tc>
        <w:tc>
          <w:tcPr>
            <w:tcW w:w="4083" w:type="dxa"/>
          </w:tcPr>
          <w:p w14:paraId="7F3FF569" w14:textId="77777777" w:rsidR="00023120" w:rsidRDefault="00317DC3" w:rsidP="00BE2D0C">
            <w:pPr>
              <w:rPr>
                <w:rFonts w:ascii="Times New Roman" w:eastAsia="Times New Roman" w:hAnsi="Times New Roman" w:cs="Times New Roman"/>
              </w:rPr>
            </w:pPr>
            <w:r>
              <w:rPr>
                <w:rFonts w:ascii="Times New Roman" w:eastAsia="Times New Roman" w:hAnsi="Times New Roman" w:cs="Times New Roman"/>
              </w:rPr>
              <w:t>Severe pyknosis; widespread nuclear shrinkage; evidence of intrinsic neurotoxicity</w:t>
            </w:r>
          </w:p>
        </w:tc>
        <w:tc>
          <w:tcPr>
            <w:tcW w:w="1928" w:type="dxa"/>
          </w:tcPr>
          <w:p w14:paraId="53B6AF42" w14:textId="77777777" w:rsidR="00023120" w:rsidRDefault="00317DC3" w:rsidP="00BE2D0C">
            <w:pPr>
              <w:rPr>
                <w:rFonts w:ascii="Times New Roman" w:eastAsia="Times New Roman" w:hAnsi="Times New Roman" w:cs="Times New Roman"/>
              </w:rPr>
            </w:pPr>
            <w:r>
              <w:rPr>
                <w:rFonts w:ascii="Times New Roman" w:eastAsia="Times New Roman" w:hAnsi="Times New Roman" w:cs="Times New Roman"/>
              </w:rPr>
              <w:t>Severe</w:t>
            </w:r>
          </w:p>
        </w:tc>
      </w:tr>
    </w:tbl>
    <w:p w14:paraId="00CE092F" w14:textId="77777777" w:rsidR="00023120" w:rsidRDefault="00023120" w:rsidP="00BE2D0C">
      <w:pPr>
        <w:spacing w:after="0" w:line="276" w:lineRule="auto"/>
        <w:rPr>
          <w:rFonts w:ascii="Times New Roman" w:eastAsia="Times New Roman" w:hAnsi="Times New Roman" w:cs="Times New Roman"/>
          <w:b/>
          <w:bCs/>
        </w:rPr>
      </w:pPr>
    </w:p>
    <w:p w14:paraId="6227D32C" w14:textId="77777777" w:rsidR="00BE2D0C" w:rsidRDefault="00BE2D0C" w:rsidP="00BE2D0C">
      <w:pPr>
        <w:spacing w:line="276" w:lineRule="auto"/>
        <w:rPr>
          <w:rFonts w:ascii="Times New Roman" w:eastAsia="Times New Roman" w:hAnsi="Times New Roman" w:cs="Times New Roman"/>
          <w:b/>
          <w:bCs/>
          <w:sz w:val="24"/>
        </w:rPr>
        <w:sectPr w:rsidR="00BE2D0C" w:rsidSect="00633BCD">
          <w:type w:val="continuous"/>
          <w:pgSz w:w="11906" w:h="16838"/>
          <w:pgMar w:top="142" w:right="1440" w:bottom="0" w:left="1440" w:header="708" w:footer="708" w:gutter="0"/>
          <w:pgNumType w:start="5"/>
          <w:cols w:space="720"/>
        </w:sectPr>
      </w:pPr>
    </w:p>
    <w:p w14:paraId="7B42FA1B" w14:textId="6F170BAD" w:rsidR="00023120" w:rsidRPr="00BE2D0C" w:rsidRDefault="00BE2D0C" w:rsidP="00BE2D0C">
      <w:pPr>
        <w:spacing w:line="276" w:lineRule="auto"/>
        <w:rPr>
          <w:rFonts w:ascii="Times New Roman" w:eastAsia="Times New Roman" w:hAnsi="Times New Roman" w:cs="Times New Roman"/>
          <w:b/>
          <w:bCs/>
          <w:sz w:val="24"/>
        </w:rPr>
      </w:pPr>
      <w:r>
        <w:rPr>
          <w:rFonts w:ascii="Times New Roman" w:eastAsia="Times New Roman" w:hAnsi="Times New Roman" w:cs="Times New Roman"/>
          <w:b/>
          <w:bCs/>
          <w:sz w:val="24"/>
        </w:rPr>
        <w:t>4. DISCUSSION</w:t>
      </w:r>
    </w:p>
    <w:p w14:paraId="5381DA31" w14:textId="77777777" w:rsidR="00023120" w:rsidRPr="00BE2D0C" w:rsidRDefault="00317DC3" w:rsidP="00BE2D0C">
      <w:pPr>
        <w:spacing w:before="240" w:after="24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This study demonstrates dose-dependent dual effects of </w:t>
      </w:r>
      <w:r>
        <w:rPr>
          <w:rFonts w:ascii="Times New Roman" w:eastAsia="Times New Roman" w:hAnsi="Times New Roman" w:cs="Times New Roman"/>
          <w:i/>
          <w:iCs/>
          <w:sz w:val="24"/>
        </w:rPr>
        <w:t>Datura stramonium</w:t>
      </w:r>
      <w:r>
        <w:rPr>
          <w:rFonts w:ascii="Times New Roman" w:eastAsia="Times New Roman" w:hAnsi="Times New Roman" w:cs="Times New Roman"/>
          <w:sz w:val="24"/>
        </w:rPr>
        <w:t xml:space="preserve"> on Cd-induced cortical histoarchitecture.</w:t>
      </w:r>
    </w:p>
    <w:p w14:paraId="379C5CE6" w14:textId="77777777" w:rsidR="00023120" w:rsidRPr="00BE2D0C" w:rsidRDefault="00317DC3" w:rsidP="00BE2D0C">
      <w:pPr>
        <w:spacing w:before="240" w:after="240" w:line="276" w:lineRule="auto"/>
        <w:rPr>
          <w:rFonts w:ascii="Times New Roman" w:eastAsia="Times New Roman" w:hAnsi="Times New Roman" w:cs="Times New Roman"/>
          <w:sz w:val="24"/>
        </w:rPr>
      </w:pPr>
      <w:r>
        <w:rPr>
          <w:rFonts w:ascii="Times New Roman" w:eastAsia="Times New Roman" w:hAnsi="Times New Roman" w:cs="Times New Roman"/>
          <w:sz w:val="24"/>
        </w:rPr>
        <w:t>Cd exposure produced mild cortical alterations, consistent with early neurotoxic stress. Co-administration of DS at 200 mg/kg was associated with relatively preserved cortical morphology compared to Cd exposure alone. However, the absence of quantitative histological scoring limits the ability to determine statistical significance of these differences.</w:t>
      </w:r>
    </w:p>
    <w:p w14:paraId="04A4A7E5" w14:textId="77777777" w:rsidR="00023120" w:rsidRPr="00BE2D0C" w:rsidRDefault="00317DC3" w:rsidP="00BE2D0C">
      <w:pPr>
        <w:spacing w:before="240" w:after="240" w:line="276" w:lineRule="auto"/>
        <w:rPr>
          <w:rFonts w:ascii="Times New Roman" w:eastAsia="Times New Roman" w:hAnsi="Times New Roman" w:cs="Times New Roman"/>
          <w:sz w:val="24"/>
        </w:rPr>
      </w:pPr>
      <w:r>
        <w:rPr>
          <w:rFonts w:ascii="Times New Roman" w:eastAsia="Times New Roman" w:hAnsi="Times New Roman" w:cs="Times New Roman"/>
          <w:sz w:val="24"/>
        </w:rPr>
        <w:t>Importantly, DS alone at 200 mg/kg induced clear neurodegenerative changes, confirming its intrinsic neurotoxic potential at higher doses. This aligns with established literature on tropane alkaloid toxicity and their narrow therapeutic index.</w:t>
      </w:r>
    </w:p>
    <w:p w14:paraId="3BC9A27B" w14:textId="77777777" w:rsidR="00023120" w:rsidRPr="00BE2D0C" w:rsidRDefault="00317DC3" w:rsidP="00BE2D0C">
      <w:pPr>
        <w:spacing w:before="240" w:after="240" w:line="276" w:lineRule="auto"/>
        <w:rPr>
          <w:rFonts w:ascii="Times New Roman" w:eastAsia="Times New Roman" w:hAnsi="Times New Roman" w:cs="Times New Roman"/>
          <w:sz w:val="24"/>
        </w:rPr>
      </w:pPr>
      <w:r>
        <w:rPr>
          <w:rFonts w:ascii="Times New Roman" w:eastAsia="Times New Roman" w:hAnsi="Times New Roman" w:cs="Times New Roman"/>
          <w:sz w:val="24"/>
        </w:rPr>
        <w:t>It is important to note that mechanistic interpretations involving oxidative stress or apoptosis cannot be conclusively drawn in this study, as no biochemical markers were assessed. Therefore, interpretations are restricted to morphological observations.</w:t>
      </w:r>
    </w:p>
    <w:p w14:paraId="416B1B90"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b/>
          <w:bCs/>
          <w:sz w:val="24"/>
        </w:rPr>
        <w:t xml:space="preserve">Clinical and research implications: </w:t>
      </w:r>
      <w:r>
        <w:rPr>
          <w:rFonts w:ascii="Times New Roman" w:eastAsia="Times New Roman" w:hAnsi="Times New Roman" w:cs="Times New Roman"/>
          <w:sz w:val="24"/>
        </w:rPr>
        <w:t xml:space="preserve">These findings reinforce the dual nature of phytochemicals, which may be therapeutic at certain doses yet harmful at others. Strict dose optimization and safety profiling are therefore essential before recommending </w:t>
      </w:r>
      <w:r>
        <w:rPr>
          <w:rFonts w:ascii="Times New Roman" w:eastAsia="Times New Roman" w:hAnsi="Times New Roman" w:cs="Times New Roman"/>
          <w:i/>
          <w:iCs/>
          <w:sz w:val="24"/>
        </w:rPr>
        <w:t>Datura</w:t>
      </w:r>
      <w:r>
        <w:rPr>
          <w:rFonts w:ascii="Times New Roman" w:eastAsia="Times New Roman" w:hAnsi="Times New Roman" w:cs="Times New Roman"/>
          <w:sz w:val="24"/>
        </w:rPr>
        <w:t xml:space="preserve"> in neuroprotective contexts, and public health messaging should prioritize awareness of the plant’s narrow therapeutic window and its potential for severe neurotoxicity.</w:t>
      </w:r>
    </w:p>
    <w:p w14:paraId="416B1B91"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b/>
          <w:bCs/>
          <w:sz w:val="24"/>
        </w:rPr>
        <w:t xml:space="preserve">Study limitations: </w:t>
      </w:r>
      <w:r>
        <w:rPr>
          <w:rFonts w:ascii="Times New Roman" w:eastAsia="Times New Roman" w:hAnsi="Times New Roman" w:cs="Times New Roman"/>
          <w:sz w:val="24"/>
        </w:rPr>
        <w:t>This study has several limitations. The lack of biochemical, oxidative stress, or apoptotic marker assessments limits mechanistic insight, and behavioral assessments (e.g., cognitive or motor function) would have enriched interpretation, especially in relation to structural pathology. The focus on cortical histology, while informative, prevents extrapolation to other critical brain regions such as the hippocampus or basal ganglia. In addition, the small sample sizes and the lack of quantitative scoring (e.g., blinded histological grading) may limit statistical robustness.</w:t>
      </w:r>
    </w:p>
    <w:p w14:paraId="416B1B92"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b/>
          <w:bCs/>
          <w:sz w:val="24"/>
        </w:rPr>
        <w:t xml:space="preserve">Future directions: </w:t>
      </w:r>
      <w:r>
        <w:rPr>
          <w:rFonts w:ascii="Times New Roman" w:eastAsia="Times New Roman" w:hAnsi="Times New Roman" w:cs="Times New Roman"/>
          <w:sz w:val="24"/>
        </w:rPr>
        <w:t xml:space="preserve">Future studies should incorporate biochemical assays such as MDA, SOD, GSH, and GPx to clarify the redox dynamics influenced by </w:t>
      </w:r>
      <w:r>
        <w:rPr>
          <w:rFonts w:ascii="Times New Roman" w:eastAsia="Times New Roman" w:hAnsi="Times New Roman" w:cs="Times New Roman"/>
          <w:i/>
          <w:iCs/>
          <w:sz w:val="24"/>
        </w:rPr>
        <w:t>Datura</w:t>
      </w:r>
      <w:r>
        <w:rPr>
          <w:rFonts w:ascii="Times New Roman" w:eastAsia="Times New Roman" w:hAnsi="Times New Roman" w:cs="Times New Roman"/>
          <w:sz w:val="24"/>
        </w:rPr>
        <w:t xml:space="preserve"> and Cd, and should conduct behavioral tests (e.g., Morris water maze, open field tests) to link histological protection or damage with functional outcomes. Expanding histological evaluation to additional regions, such as the hippocampus and striatum, would help determine whether the observed patterns generalize across the brain. Exploring lower or graded dosing of </w:t>
      </w:r>
      <w:r>
        <w:rPr>
          <w:rFonts w:ascii="Times New Roman" w:eastAsia="Times New Roman" w:hAnsi="Times New Roman" w:cs="Times New Roman"/>
          <w:i/>
          <w:iCs/>
          <w:sz w:val="24"/>
        </w:rPr>
        <w:t>Datura</w:t>
      </w:r>
      <w:r>
        <w:rPr>
          <w:rFonts w:ascii="Times New Roman" w:eastAsia="Times New Roman" w:hAnsi="Times New Roman" w:cs="Times New Roman"/>
          <w:sz w:val="24"/>
        </w:rPr>
        <w:t xml:space="preserve"> would help delineate protective versus toxic thresholds more precisely, and investigating the specific phytochemical components responsible for neuroprotection or toxicity, for example via fractionation, would clarify the compounds driving these effects.</w:t>
      </w:r>
    </w:p>
    <w:p w14:paraId="416B1B93" w14:textId="77777777" w:rsidR="00023120" w:rsidRPr="00BE2D0C" w:rsidRDefault="00317DC3" w:rsidP="00BE2D0C">
      <w:pPr>
        <w:spacing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In sum, this study’s morphological findings present a compelling narrative: </w:t>
      </w:r>
      <w:r>
        <w:rPr>
          <w:rFonts w:ascii="Times New Roman" w:eastAsia="Times New Roman" w:hAnsi="Times New Roman" w:cs="Times New Roman"/>
          <w:i/>
          <w:iCs/>
          <w:sz w:val="24"/>
        </w:rPr>
        <w:t>Datura stramonium</w:t>
      </w:r>
      <w:r>
        <w:rPr>
          <w:rFonts w:ascii="Times New Roman" w:eastAsia="Times New Roman" w:hAnsi="Times New Roman" w:cs="Times New Roman"/>
          <w:sz w:val="24"/>
        </w:rPr>
        <w:t xml:space="preserve"> exhibits context-dependent dual effects, ameliorating Cd-induced cortical damage at 200 mg/kg when co-administered with cadmium, yet inducing marked neurotoxicity when given alone at the same dose. These findings highlight the plant’s narrow therapeutic window and underscore the necessity for strict dose regulation, particularly in regions where herbal remedies are widely used. Further biochemical, behavioral, and dose-ranging investigations are needed to validate and harness its potential for safe neuropharmacological application.</w:t>
      </w:r>
    </w:p>
    <w:p w14:paraId="26B2E4E7" w14:textId="77777777" w:rsidR="00023120" w:rsidRPr="00BE2D0C" w:rsidRDefault="00317DC3" w:rsidP="00BE2D0C">
      <w:pPr>
        <w:pStyle w:val="Heading2"/>
        <w:spacing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Data Availability</w:t>
      </w:r>
    </w:p>
    <w:p w14:paraId="380448E9" w14:textId="77777777" w:rsidR="00023120" w:rsidRPr="00BE2D0C" w:rsidRDefault="00317DC3" w:rsidP="00BE2D0C">
      <w:pPr>
        <w:spacing w:before="280" w:after="280" w:line="276" w:lineRule="auto"/>
        <w:rPr>
          <w:rFonts w:ascii="Times New Roman" w:eastAsia="Times New Roman" w:hAnsi="Times New Roman" w:cs="Times New Roman"/>
          <w:sz w:val="24"/>
        </w:rPr>
      </w:pPr>
      <w:r>
        <w:rPr>
          <w:rFonts w:ascii="Times New Roman" w:eastAsia="Times New Roman" w:hAnsi="Times New Roman" w:cs="Times New Roman"/>
          <w:sz w:val="24"/>
        </w:rPr>
        <w:t>All data generated or analysed during this study are included in this published article.</w:t>
      </w:r>
    </w:p>
    <w:p w14:paraId="6E6C8A59" w14:textId="77777777" w:rsidR="00023120" w:rsidRPr="00BE2D0C" w:rsidRDefault="00317DC3" w:rsidP="00BE2D0C">
      <w:pPr>
        <w:pStyle w:val="Heading2"/>
        <w:spacing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Conflicts of Interest</w:t>
      </w:r>
    </w:p>
    <w:p w14:paraId="55045EAF" w14:textId="77777777" w:rsidR="00023120" w:rsidRPr="00BE2D0C" w:rsidRDefault="00317DC3" w:rsidP="00BE2D0C">
      <w:pPr>
        <w:pBdr>
          <w:top w:val="nil"/>
          <w:left w:val="nil"/>
          <w:bottom w:val="nil"/>
          <w:right w:val="nil"/>
          <w:between w:val="nil"/>
        </w:pBdr>
        <w:spacing w:line="276" w:lineRule="auto"/>
        <w:jc w:val="lef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The authors declare that there is no conflict of interest regarding the publication of this paper.</w:t>
      </w:r>
    </w:p>
    <w:p w14:paraId="23B13E36" w14:textId="77777777" w:rsidR="00023120" w:rsidRPr="00BE2D0C" w:rsidRDefault="00317DC3" w:rsidP="00BE2D0C">
      <w:pPr>
        <w:pStyle w:val="Heading2"/>
        <w:spacing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Funding</w:t>
      </w:r>
    </w:p>
    <w:p w14:paraId="61AC60E7" w14:textId="77777777" w:rsidR="00023120" w:rsidRPr="00BE2D0C" w:rsidRDefault="00317DC3" w:rsidP="00BE2D0C">
      <w:pPr>
        <w:pBdr>
          <w:top w:val="nil"/>
          <w:left w:val="nil"/>
          <w:bottom w:val="nil"/>
          <w:right w:val="nil"/>
          <w:between w:val="nil"/>
        </w:pBdr>
        <w:spacing w:line="276" w:lineRule="auto"/>
        <w:jc w:val="lef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The authors received no financial support for the research, authorship, or publication of this article.</w:t>
      </w:r>
    </w:p>
    <w:p w14:paraId="2D0E5C1B" w14:textId="77777777" w:rsidR="00023120" w:rsidRPr="00BE2D0C" w:rsidRDefault="00317DC3" w:rsidP="00BE2D0C">
      <w:pPr>
        <w:pStyle w:val="Heading2"/>
        <w:spacing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Consent for Publication</w:t>
      </w:r>
    </w:p>
    <w:p w14:paraId="1AF037A6" w14:textId="77777777" w:rsidR="00023120" w:rsidRPr="00BE2D0C" w:rsidRDefault="00317DC3" w:rsidP="00BE2D0C">
      <w:pPr>
        <w:pBdr>
          <w:top w:val="nil"/>
          <w:left w:val="nil"/>
          <w:bottom w:val="nil"/>
          <w:right w:val="nil"/>
          <w:between w:val="nil"/>
        </w:pBdr>
        <w:spacing w:line="276" w:lineRule="auto"/>
        <w:jc w:val="lef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Not applicable.</w:t>
      </w:r>
    </w:p>
    <w:p w14:paraId="3BD70840" w14:textId="77777777" w:rsidR="00BE2D0C" w:rsidRDefault="00BE2D0C">
      <w:pPr>
        <w:spacing w:line="480" w:lineRule="auto"/>
        <w:rPr>
          <w:rFonts w:ascii="Times New Roman" w:eastAsia="Times New Roman" w:hAnsi="Times New Roman" w:cs="Times New Roman"/>
        </w:rPr>
        <w:sectPr w:rsidR="00BE2D0C" w:rsidSect="00633BCD">
          <w:type w:val="continuous"/>
          <w:pgSz w:w="11906" w:h="16838"/>
          <w:pgMar w:top="142" w:right="1440" w:bottom="0" w:left="1440" w:header="708" w:footer="708" w:gutter="0"/>
          <w:pgNumType w:start="8"/>
          <w:cols w:num="2" w:space="720"/>
        </w:sectPr>
      </w:pPr>
    </w:p>
    <w:p w14:paraId="0C93ABDB" w14:textId="2CDD2B68" w:rsidR="00023120" w:rsidRDefault="00023120">
      <w:pPr>
        <w:spacing w:line="480" w:lineRule="auto"/>
        <w:rPr>
          <w:rFonts w:ascii="Times New Roman" w:eastAsia="Times New Roman" w:hAnsi="Times New Roman" w:cs="Times New Roman"/>
        </w:rPr>
      </w:pPr>
    </w:p>
    <w:p w14:paraId="1834AE27" w14:textId="7DBA4201" w:rsidR="00023120" w:rsidRPr="00BE2D0C" w:rsidRDefault="00BE2D0C">
      <w:pPr>
        <w:spacing w:line="480" w:lineRule="auto"/>
        <w:rPr>
          <w:rFonts w:ascii="Times New Roman" w:eastAsia="Times New Roman" w:hAnsi="Times New Roman" w:cs="Times New Roman"/>
          <w:b/>
          <w:bCs/>
          <w:sz w:val="24"/>
          <w:szCs w:val="32"/>
        </w:rPr>
      </w:pPr>
      <w:bookmarkStart w:id="0" w:name="_e22yrmrl17q1" w:colFirst="0" w:colLast="0"/>
      <w:bookmarkEnd w:id="0"/>
      <w:r>
        <w:rPr>
          <w:rFonts w:ascii="Times New Roman" w:eastAsia="Times New Roman" w:hAnsi="Times New Roman" w:cs="Times New Roman"/>
          <w:b/>
          <w:bCs/>
          <w:sz w:val="24"/>
          <w:szCs w:val="32"/>
        </w:rPr>
        <w:t>REFERENCES</w:t>
      </w:r>
    </w:p>
    <w:p w14:paraId="6819D163" w14:textId="77777777" w:rsidR="00BE2D0C" w:rsidRDefault="00BE2D0C" w:rsidP="00BE2D0C">
      <w:pPr>
        <w:spacing w:line="240" w:lineRule="auto"/>
        <w:ind w:left="567" w:hanging="567"/>
        <w:rPr>
          <w:rFonts w:asciiTheme="majorBidi" w:eastAsia="Times New Roman" w:hAnsiTheme="majorBidi" w:cstheme="majorBidi"/>
          <w:sz w:val="24"/>
        </w:rPr>
        <w:sectPr w:rsidR="00BE2D0C" w:rsidSect="00BE2D0C">
          <w:type w:val="continuous"/>
          <w:pgSz w:w="11906" w:h="16838"/>
          <w:pgMar w:top="142" w:right="1440" w:bottom="0" w:left="1440" w:header="708" w:footer="708" w:gutter="0"/>
          <w:pgNumType w:start="1"/>
          <w:cols w:space="720"/>
        </w:sectPr>
      </w:pPr>
    </w:p>
    <w:p w14:paraId="3809CD7C" w14:textId="5C1D38D3"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Abdu, I. T., Musa, S. A., Iliya, I. A., &amp; Nzalak, J. O. (2020). Evaluation of the effects of lactational exposure to hyoscyamine fraction of Datura stramonium L. seeds on learning and memory in Wistar rats. The Journal of Neurobehavioral Sciences, 7(3), 109–117.</w:t>
      </w:r>
    </w:p>
    <w:p w14:paraId="6B1CD42D"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Arroo, R. R. J., Alfermann, A. W., &amp; Medarde, M. (2009). Datura species: Alkaloid content, toxicity, and medicinal use. Phytochemistry Reviews, 8(2-3), 295–306.</w:t>
      </w:r>
    </w:p>
    <w:p w14:paraId="4C04C326"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Arruebarrena, M. A., Hawe, C. T., Lee, Y. M., &amp; Branco, R. C. (2023). Mechanisms of Cd neurotoxicity. International Journal of Molecular Sciences, 24(23), 16558. https://doi.org/10.3390/ijms242316558.</w:t>
      </w:r>
    </w:p>
    <w:p w14:paraId="6DBF6BEF"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Balcombe, J. P., Barnard, N. D., &amp; Sandusky, C. (2004). Laboratory routines cause animal stress. Contemporary Topics in Laboratory Animal Science, 43(6), 42–51.</w:t>
      </w:r>
    </w:p>
    <w:p w14:paraId="639C9593"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Bancroft, J. D., &amp; Gamble, M. (2008). Theory and practice of histological techniques (6th ed.). Churchill Livingstone.</w:t>
      </w:r>
    </w:p>
    <w:p w14:paraId="09231C05"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Bolat, İ., Yıldırım, S., Sağlam, Y. S., Çomaklı, S., Tekin, S., Bolat, M., Doğan, T., Kiliçlioğlu, M., &amp; Gözegir, B. (2025). β-Caryophyllene attenuates Cd-induced neurotoxicity in rats by modulating different cellular signaling pathways. NeuroToxicology, 108, 206–217. https://doi.org/10.1016/j.neuro.2025.04.006.</w:t>
      </w:r>
    </w:p>
    <w:p w14:paraId="22F6A9B6"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Charles River Laboratories. (2016). Rodent care and handling guidelines. Wilmington, MA.</w:t>
      </w:r>
    </w:p>
    <w:p w14:paraId="6BD95FF0"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Cuypers, A., Plusquin, M., Remans, T., et al. (2010). Cd stress: An oxidative challenge. Biometals, 23(5), 927–940.</w:t>
      </w:r>
    </w:p>
    <w:p w14:paraId="0D427C91"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Ekanem, P. E., Ekanem, R., &amp; Gaim, K. (2016). Histological patterns of neurodegeneration of frontal cortex neurons in Datura stramonium-treated Wistar rats. Journal of Behavioral and Brain Science, 6(2), 85–92. https://doi.org/10.4236/jbbs.2016.62009.</w:t>
      </w:r>
    </w:p>
    <w:p w14:paraId="4AB17C40"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Fischer, A. H., Jacobson, K. A., Rose, J., &amp; Zeller, R. (2008). Hematoxylin and eosin staining of tissue and cell sections. Cold Spring Harbor Protocols, 2008(5), pdb.prot4986.</w:t>
      </w:r>
    </w:p>
    <w:p w14:paraId="15F87839"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Gaire, B. P., &amp; Subedi, L. (2013). A review on the pharmacological and toxicological aspects of Datura stramonium. Journal of Integrative Medicine, 11(2), 73–79.</w:t>
      </w:r>
    </w:p>
    <w:p w14:paraId="7828D56E"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Genchi, G., Sinicropi, M. S., Lauria, G., et al. (2020). The effects of Cd toxicity. International Journal of Environmental Research and Public Health, 17(11), 3782.</w:t>
      </w:r>
    </w:p>
    <w:p w14:paraId="5190DC0A"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 xml:space="preserve">Griffin, W. J., &amp; Lin, G. D. (2000). Chemotaxonomy and geographical distribution of tropane alkaloids. </w:t>
      </w:r>
      <w:r>
        <w:rPr>
          <w:rFonts w:asciiTheme="majorBidi" w:eastAsia="Times New Roman" w:hAnsiTheme="majorBidi" w:cstheme="majorBidi"/>
          <w:i/>
          <w:iCs/>
          <w:sz w:val="24"/>
        </w:rPr>
        <w:t>Phytochemistry, 53</w:t>
      </w:r>
      <w:r>
        <w:rPr>
          <w:rFonts w:asciiTheme="majorBidi" w:eastAsia="Times New Roman" w:hAnsiTheme="majorBidi" w:cstheme="majorBidi"/>
          <w:sz w:val="24"/>
        </w:rPr>
        <w:t xml:space="preserve">(6), 623–637. </w:t>
      </w:r>
      <w:hyperlink r:id="rId16" w:history="1">
        <w:r>
          <w:rPr>
            <w:rFonts w:asciiTheme="majorBidi" w:eastAsia="Times New Roman" w:hAnsiTheme="majorBidi" w:cstheme="majorBidi"/>
            <w:color w:val="467886"/>
            <w:sz w:val="24"/>
            <w:u w:val="single"/>
          </w:rPr>
          <w:t>https://doi.org/10.1016/S0031-9422(99)00475-6</w:t>
        </w:r>
      </w:hyperlink>
      <w:r>
        <w:rPr>
          <w:rFonts w:asciiTheme="majorBidi" w:eastAsia="Times New Roman" w:hAnsiTheme="majorBidi" w:cstheme="majorBidi"/>
          <w:sz w:val="24"/>
        </w:rPr>
        <w:t>.</w:t>
      </w:r>
    </w:p>
    <w:p w14:paraId="3D5647DF"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Gunasekaran, T., Haque, M., &amp; Sugaya, K. (2021). Polyphenols as potential phytochemicals against cadmium-induced neurotoxicity. Neurochemistry International, 149, 105137. https://doi.org/10.1016/j.neuint.2021.105137.</w:t>
      </w:r>
    </w:p>
    <w:p w14:paraId="3210007E"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Harborne, J. B. (1998). Phytochemical methods: A guide to modern techniques of plant analysis (3rd ed.). Chapman &amp; Hall.</w:t>
      </w:r>
    </w:p>
    <w:p w14:paraId="2AEFAA61"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Humason, G. L. (1997). Animal tissue techniques (4th ed.). W.H. Freeman.</w:t>
      </w:r>
    </w:p>
    <w:p w14:paraId="47682574"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Idowu, O. K. (2022). Aqueous extract of Datura stramonium seeds induces cerebellar neurodegeneration, motor and non-motor deficits in Wistar rats. Journal of Experimental and Clinical Anatomy, 19(2), 37–42.</w:t>
      </w:r>
    </w:p>
    <w:p w14:paraId="0171A14C"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Jarup, L., &amp; Akesson, A. (2009). Current status of Cd as an environmental health problem. Toxicology and Applied Pharmacology, 238(3), 201–208.</w:t>
      </w:r>
    </w:p>
    <w:p w14:paraId="7F457F07"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Kiernan, J. A. (2008). Histological and histochemical methods: Theory and practice (4th ed.). Scion.</w:t>
      </w:r>
    </w:p>
    <w:p w14:paraId="28272602"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Luna, L. G. (1968). Manual of histologic staining methods of the Armed Forces Institute of Pathology (3rd ed.). McGraw Hill.</w:t>
      </w:r>
    </w:p>
    <w:p w14:paraId="00E9E07D"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Moise, G., Jîjie, R., Moacă, A., Predescu, A., Dehelean, C. A., Hegheș, A., Vlad, D. C., Popescu, R., &amp; Vlad, C. S. (2024). Plants’ Impact on the Human Brain Exploring the Neuroprotective and Neurotoxic Potential of Plants. Pharmaceuticals, 17(10), 1339. https://doi.org/10.3390/ph17101339</w:t>
      </w:r>
    </w:p>
    <w:p w14:paraId="2755D302"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Mukherjee, P. K. (2002). Quality control of herbal drugs: An approach to evaluation of botanicals. Business Horizons.</w:t>
      </w:r>
    </w:p>
    <w:p w14:paraId="228CC507"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National Research Council. (2011). Guide for the care and use of laboratory animals (8th ed.). The National Academies Press.</w:t>
      </w:r>
    </w:p>
    <w:p w14:paraId="0D6F5F98"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Nawrot, T. S., Staessen, J. A., Roels, H. A., Munters, E., Cuypers, A., Richart, T., Ruttens, A., Smeets, K., Clijsters, H., &amp; Vangronsveld, J. (2010). Cd exposure in the population: From health risks to strategies of prevention. Biometals, 23(5), 769–782.</w:t>
      </w:r>
    </w:p>
    <w:p w14:paraId="04B31557"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 xml:space="preserve">Ogunmoyole T, Adeyeye RI, Olatilu BO, Akande OA, Agunbiade OJ. Multiple organ toxicity of </w:t>
      </w:r>
      <w:r>
        <w:rPr>
          <w:rFonts w:asciiTheme="majorBidi" w:eastAsia="Times New Roman" w:hAnsiTheme="majorBidi" w:cstheme="majorBidi"/>
          <w:i/>
          <w:iCs/>
          <w:sz w:val="24"/>
        </w:rPr>
        <w:t>Datura stramonium</w:t>
      </w:r>
      <w:r>
        <w:rPr>
          <w:rFonts w:asciiTheme="majorBidi" w:eastAsia="Times New Roman" w:hAnsiTheme="majorBidi" w:cstheme="majorBidi"/>
          <w:sz w:val="24"/>
        </w:rPr>
        <w:t xml:space="preserve"> seed extracts. Toxicol Rep. 2019 Sep 24;6:983-989. doi: 10.1016/j.toxrep.2019.09.011. PMID: 31673500; PMCID: PMC6816135.</w:t>
      </w:r>
    </w:p>
    <w:p w14:paraId="65464E88"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Ojo, O. A., Rotimi, D. E., Ojo, A. B., Ogunlakin, A. D., &amp; Ajiboye, B. O. (2023). Gallic acid abates cadmium chloride toxicity via alteration of neurotransmitters and modulation of inflammatory markers in Wistar rats. Scientific Reports, 13, 1522. https://doi.org/10.1038/s41598-023-28893-6.</w:t>
      </w:r>
    </w:p>
    <w:p w14:paraId="553FA823"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 xml:space="preserve">Olorunnisola, O. S., Bradley, G., &amp; Afolayan, A. J. (2011). Antioxidant properties and cytotoxicity of methanolic extract of </w:t>
      </w:r>
      <w:r>
        <w:rPr>
          <w:rFonts w:asciiTheme="majorBidi" w:eastAsia="Times New Roman" w:hAnsiTheme="majorBidi" w:cstheme="majorBidi"/>
          <w:i/>
          <w:iCs/>
          <w:sz w:val="24"/>
        </w:rPr>
        <w:t>Datura stramonium</w:t>
      </w:r>
      <w:r>
        <w:rPr>
          <w:rFonts w:asciiTheme="majorBidi" w:eastAsia="Times New Roman" w:hAnsiTheme="majorBidi" w:cstheme="majorBidi"/>
          <w:sz w:val="24"/>
        </w:rPr>
        <w:t xml:space="preserve"> Linn. African Journal of Biotechnology, 10(23), 4920–4925.</w:t>
      </w:r>
    </w:p>
    <w:p w14:paraId="06221817"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Parasuraman, S., Raveendran, R., &amp; Kesavan, R. (2010). Blood sample collection in small laboratory animals. Journal of Pharmacology &amp; Pharmacotherapeutics, 1(2), 87–93.</w:t>
      </w:r>
    </w:p>
    <w:p w14:paraId="6502E7DF"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Tobwala, S., Wang, H.-J., Carey, J. W., Banks, W. A., &amp; Ercal, N. (2014). Effects of Lead and Cd on brain endothelial cell survival, monolayer permeability, and crucial oxidative stress markers in an in vitro model of the blood–brain barrier. Toxics, 2(2), 258–275.</w:t>
      </w:r>
    </w:p>
    <w:p w14:paraId="3B8634B9"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Saleh, M., Fatihu, Y., Suleiman, M. M., Esievo, K. A. N., &amp; Ibrahim, J. S. (2023). Clinicopathology, Liver Lipid Profiles, Oxidative and Antioxidant Biomarkers of Datura stramonium Leaf Extract Toxicity and Ameliorative Potentials of Moringa oleifera Leaf Extract in Wistar Rats. Acta Scientific Veterinary Sciences 5.7 (2023): 27-37.</w:t>
      </w:r>
    </w:p>
    <w:p w14:paraId="26A16776"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Shim, K.H., Kang, M.J., Sharma, N. et al. Beauty of the beast: anticholinergic tropane alkaloids in therapeutics. Nat. Prod. Bioprospect. 12, 33 (2022). https://doi.org/10.1007/s13659-022-00357-w</w:t>
      </w:r>
    </w:p>
    <w:p w14:paraId="190AF3EF"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Sofowora, A. (1993). Medicinal plants and traditional medicine in Africa. Spectrum Books.</w:t>
      </w:r>
    </w:p>
    <w:p w14:paraId="543CD809"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Trease, G. E., &amp; Evans, W. C. (2009). Pharmacognosy (16th ed.). Saunders Elsevier.</w:t>
      </w:r>
    </w:p>
    <w:p w14:paraId="3D38C4A9"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Turner, P. V., Brabb, T., Pekow, C., &amp; Vasbinder, M. A. (2011). Administration of substances to laboratory animals: Routes of administration and factors to consider. Journal of the American Association for Laboratory Animal Science, 50(5), 600–613.</w:t>
      </w:r>
    </w:p>
    <w:p w14:paraId="45DD56BE"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Wang, B., &amp; Du, Y. (2013). Cd and its neurotoxic effects. Oxidative Medicine and Cellular Longevity, 2013, 898034.</w:t>
      </w:r>
    </w:p>
    <w:p w14:paraId="57559E93"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Yang, X &amp; Fan, GY &amp; Liu, DY &amp; Zhang, H &amp; Xu, ZY &amp; Ge, YM &amp; Wang, Z. (2015). Effect of Cd Exposure on the Histopathology of Cerebral Cortex in Juvenile Mice. Biological Trace Element Research. 165. 10.1007/s12011-015-0246-2.</w:t>
      </w:r>
    </w:p>
    <w:p w14:paraId="0AB1484B"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Yang, X.-F., Fan, G.-Y., Liu, D.-Y., Zhang, H., Xu, Z.-Y., Ge, Y.-M., &amp; Wang, Z. (2015). Effect of cadmium exposure on the histopathology of cerebral cortex in juvenile mice. Biological Trace Element Research, 165(2), 167–172. https://doi.org/10.1007/s12011-015-0246-2.</w:t>
      </w:r>
    </w:p>
    <w:p w14:paraId="4E2F2562" w14:textId="77777777" w:rsidR="00023120" w:rsidRPr="00BE2D0C" w:rsidRDefault="00317DC3" w:rsidP="00BE2D0C">
      <w:pPr>
        <w:spacing w:line="240" w:lineRule="auto"/>
        <w:ind w:left="567" w:hanging="567"/>
        <w:rPr>
          <w:rFonts w:asciiTheme="majorBidi" w:eastAsia="Times New Roman" w:hAnsiTheme="majorBidi" w:cstheme="majorBidi"/>
          <w:sz w:val="24"/>
        </w:rPr>
      </w:pPr>
      <w:r>
        <w:rPr>
          <w:rFonts w:asciiTheme="majorBidi" w:eastAsia="Times New Roman" w:hAnsiTheme="majorBidi" w:cstheme="majorBidi"/>
          <w:sz w:val="24"/>
        </w:rPr>
        <w:t>Zimmermann, M. (1983). Ethical guidelines for investigations of experimental pain in conscious animals. Pain, 16(2), 109–110.</w:t>
      </w:r>
    </w:p>
    <w:p w14:paraId="01BA0D07" w14:textId="5E1F53D4" w:rsidR="00023120" w:rsidRPr="00BE2D0C" w:rsidRDefault="00317DC3" w:rsidP="00020575">
      <w:pPr>
        <w:spacing w:line="240" w:lineRule="auto"/>
        <w:ind w:left="567" w:hanging="567"/>
        <w:jc w:val="left"/>
        <w:rPr>
          <w:rFonts w:asciiTheme="majorBidi" w:eastAsia="Times New Roman" w:hAnsiTheme="majorBidi" w:cstheme="majorBidi"/>
          <w:sz w:val="24"/>
        </w:rPr>
      </w:pPr>
      <w:r>
        <w:rPr>
          <w:rFonts w:asciiTheme="majorBidi" w:eastAsia="Times New Roman" w:hAnsiTheme="majorBidi" w:cstheme="majorBidi"/>
          <w:sz w:val="24"/>
        </w:rPr>
        <w:t>Sharma, M., Sharma, R., &amp; Sharma, R. (2021)</w:t>
      </w:r>
      <w:r w:rsidR="00020575">
        <w:rPr>
          <w:rFonts w:asciiTheme="majorBidi" w:eastAsia="Times New Roman" w:hAnsiTheme="majorBidi" w:cstheme="majorBidi"/>
          <w:sz w:val="24"/>
        </w:rPr>
        <w:t xml:space="preserve">. </w:t>
      </w:r>
      <w:r>
        <w:rPr>
          <w:rFonts w:asciiTheme="majorBidi" w:eastAsia="Times New Roman" w:hAnsiTheme="majorBidi" w:cstheme="majorBidi"/>
          <w:sz w:val="24"/>
        </w:rPr>
        <w:t>Phytochemistry, pharmacology, and toxicology of Datura. Antioxidants, 10(8), 1291.</w:t>
      </w:r>
    </w:p>
    <w:p w14:paraId="599272A6" w14:textId="77777777" w:rsidR="00023120" w:rsidRPr="00BE2D0C" w:rsidRDefault="00023120" w:rsidP="00BE2D0C">
      <w:pPr>
        <w:spacing w:line="240" w:lineRule="auto"/>
        <w:ind w:left="567" w:hanging="567"/>
        <w:rPr>
          <w:rFonts w:asciiTheme="majorBidi" w:eastAsia="Calibri" w:hAnsiTheme="majorBidi" w:cstheme="majorBidi"/>
          <w:sz w:val="24"/>
        </w:rPr>
      </w:pPr>
    </w:p>
    <w:sectPr w:rsidR="00023120" w:rsidRPr="00BE2D0C" w:rsidSect="00633BCD">
      <w:type w:val="continuous"/>
      <w:pgSz w:w="11906" w:h="16838"/>
      <w:pgMar w:top="142" w:right="1440" w:bottom="0" w:left="1440" w:header="708" w:footer="708" w:gutter="0"/>
      <w:pgNumType w:start="9"/>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355A0" w14:textId="77777777" w:rsidR="0085529E" w:rsidRDefault="0085529E">
      <w:pPr>
        <w:spacing w:after="0" w:line="240" w:lineRule="auto"/>
      </w:pPr>
      <w:r>
        <w:separator/>
      </w:r>
    </w:p>
  </w:endnote>
  <w:endnote w:type="continuationSeparator" w:id="0">
    <w:p w14:paraId="08D73D8B" w14:textId="77777777" w:rsidR="0085529E" w:rsidRDefault="00855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1" w:fontKey="{E5563E8F-0FF4-406C-A4C8-A9254A752036}"/>
    <w:embedBold r:id="rId2" w:fontKey="{BF7A83E7-A6E5-4A69-8998-9150AA0B6CB8}"/>
    <w:embedItalic r:id="rId3" w:fontKey="{BDC81054-C743-4896-A9F2-0F82859D8A20}"/>
  </w:font>
  <w:font w:name="Play">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8F4AF13D-31E0-47BF-9CB7-1DDC0BBD080C}"/>
  </w:font>
  <w:font w:name="Cambria">
    <w:panose1 w:val="02040503050406030204"/>
    <w:charset w:val="00"/>
    <w:family w:val="roman"/>
    <w:pitch w:val="variable"/>
    <w:sig w:usb0="E00006FF" w:usb1="420024FF" w:usb2="02000000" w:usb3="00000000" w:csb0="0000019F" w:csb1="00000000"/>
    <w:embedRegular r:id="rId5" w:fontKey="{07F92AD9-F6EF-4099-A207-F7E60975237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451347"/>
      <w:docPartObj>
        <w:docPartGallery w:val="Page Numbers (Bottom of Page)"/>
        <w:docPartUnique/>
      </w:docPartObj>
    </w:sdtPr>
    <w:sdtEndPr>
      <w:rPr>
        <w:noProof/>
      </w:rPr>
    </w:sdtEndPr>
    <w:sdtContent>
      <w:p w14:paraId="2B9A5B68" w14:textId="3F59D937" w:rsidR="00633BCD" w:rsidRDefault="00633BCD">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07BA394E" w14:textId="77777777" w:rsidR="00023120" w:rsidRDefault="00023120">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4CACF" w14:textId="77777777" w:rsidR="0085529E" w:rsidRDefault="0085529E">
      <w:pPr>
        <w:spacing w:after="0" w:line="240" w:lineRule="auto"/>
      </w:pPr>
      <w:r>
        <w:separator/>
      </w:r>
    </w:p>
  </w:footnote>
  <w:footnote w:type="continuationSeparator" w:id="0">
    <w:p w14:paraId="2FABBFA3" w14:textId="77777777" w:rsidR="0085529E" w:rsidRDefault="00855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9772D" w14:textId="77777777" w:rsidR="00023120" w:rsidRDefault="00023120">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000002"/>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0000003"/>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0000004"/>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5160058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12172671">
    <w:abstractNumId w:val="4"/>
  </w:num>
  <w:num w:numId="2" w16cid:durableId="985088812">
    <w:abstractNumId w:val="0"/>
  </w:num>
  <w:num w:numId="3" w16cid:durableId="1713528900">
    <w:abstractNumId w:val="1"/>
  </w:num>
  <w:num w:numId="4" w16cid:durableId="390232922">
    <w:abstractNumId w:val="2"/>
  </w:num>
  <w:num w:numId="5" w16cid:durableId="1293825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120"/>
    <w:rsid w:val="00020575"/>
    <w:rsid w:val="00023120"/>
    <w:rsid w:val="00073F1F"/>
    <w:rsid w:val="00317DC3"/>
    <w:rsid w:val="005839CF"/>
    <w:rsid w:val="00633BCD"/>
    <w:rsid w:val="007A161D"/>
    <w:rsid w:val="007D1522"/>
    <w:rsid w:val="0085529E"/>
    <w:rsid w:val="00BE2D0C"/>
    <w:rsid w:val="00CF3741"/>
    <w:rsid w:val="00D02E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F5A71"/>
  <w15:docId w15:val="{88E37696-DACA-4D6E-A162-CBF9D30C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1"/>
    </w:rPr>
  </w:style>
  <w:style w:type="paragraph" w:styleId="Heading1">
    <w:name w:val="heading 1"/>
    <w:basedOn w:val="Normal1"/>
    <w:next w:val="Normal1"/>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1"/>
    <w:next w:val="Normal1"/>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1"/>
    <w:next w:val="Normal1"/>
    <w:uiPriority w:val="9"/>
    <w:semiHidden/>
    <w:unhideWhenUsed/>
    <w:qFormat/>
    <w:pPr>
      <w:keepNext/>
      <w:keepLines/>
      <w:spacing w:before="160" w:after="80"/>
      <w:outlineLvl w:val="2"/>
    </w:pPr>
    <w:rPr>
      <w:color w:val="0F4761"/>
      <w:sz w:val="28"/>
      <w:szCs w:val="28"/>
    </w:rPr>
  </w:style>
  <w:style w:type="paragraph" w:styleId="Heading4">
    <w:name w:val="heading 4"/>
    <w:basedOn w:val="Normal1"/>
    <w:next w:val="Normal1"/>
    <w:uiPriority w:val="9"/>
    <w:semiHidden/>
    <w:unhideWhenUsed/>
    <w:qFormat/>
    <w:pPr>
      <w:keepNext/>
      <w:keepLines/>
      <w:spacing w:before="80" w:after="40"/>
      <w:outlineLvl w:val="3"/>
    </w:pPr>
    <w:rPr>
      <w:i/>
      <w:iCs/>
      <w:color w:val="0F4761"/>
    </w:rPr>
  </w:style>
  <w:style w:type="paragraph" w:styleId="Heading5">
    <w:name w:val="heading 5"/>
    <w:basedOn w:val="Normal1"/>
    <w:next w:val="Normal1"/>
    <w:uiPriority w:val="9"/>
    <w:semiHidden/>
    <w:unhideWhenUsed/>
    <w:qFormat/>
    <w:pPr>
      <w:keepNext/>
      <w:keepLines/>
      <w:spacing w:before="80" w:after="40"/>
      <w:outlineLvl w:val="4"/>
    </w:pPr>
    <w:rPr>
      <w:color w:val="0F4761"/>
    </w:rPr>
  </w:style>
  <w:style w:type="paragraph" w:styleId="Heading6">
    <w:name w:val="heading 6"/>
    <w:basedOn w:val="Normal1"/>
    <w:next w:val="Normal1"/>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paragraph" w:styleId="Title">
    <w:name w:val="Title"/>
    <w:basedOn w:val="Normal1"/>
    <w:next w:val="Normal1"/>
    <w:uiPriority w:val="10"/>
    <w:qFormat/>
    <w:pPr>
      <w:spacing w:after="80" w:line="240" w:lineRule="auto"/>
    </w:pPr>
    <w:rPr>
      <w:rFonts w:ascii="Play" w:eastAsia="Play" w:hAnsi="Play" w:cs="Play"/>
      <w:sz w:val="56"/>
      <w:szCs w:val="56"/>
    </w:rPr>
  </w:style>
  <w:style w:type="paragraph" w:styleId="Subtitle">
    <w:name w:val="Subtitle"/>
    <w:basedOn w:val="Normal1"/>
    <w:next w:val="Normal1"/>
    <w:uiPriority w:val="11"/>
    <w:qFormat/>
    <w:rPr>
      <w:color w:val="595959"/>
      <w:sz w:val="28"/>
      <w:szCs w:val="28"/>
    </w:rPr>
  </w:style>
  <w:style w:type="table" w:customStyle="1" w:styleId="1">
    <w:name w:val="1"/>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BodyText">
    <w:name w:val="Body Text"/>
    <w:basedOn w:val="Normal"/>
    <w:link w:val="BodyTextChar"/>
    <w:uiPriority w:val="1"/>
    <w:semiHidden/>
    <w:unhideWhenUsed/>
    <w:qFormat/>
    <w:rsid w:val="00CF3741"/>
    <w:pPr>
      <w:widowControl w:val="0"/>
      <w:autoSpaceDE w:val="0"/>
      <w:autoSpaceDN w:val="0"/>
      <w:spacing w:after="0" w:line="240" w:lineRule="auto"/>
      <w:jc w:val="left"/>
    </w:pPr>
    <w:rPr>
      <w:rFonts w:ascii="Times New Roman" w:eastAsia="Times New Roman" w:hAnsi="Times New Roman" w:cs="Times New Roman"/>
      <w:sz w:val="24"/>
    </w:rPr>
  </w:style>
  <w:style w:type="character" w:customStyle="1" w:styleId="BodyTextChar">
    <w:name w:val="Body Text Char"/>
    <w:basedOn w:val="DefaultParagraphFont"/>
    <w:link w:val="BodyText"/>
    <w:uiPriority w:val="1"/>
    <w:semiHidden/>
    <w:rsid w:val="00CF3741"/>
    <w:rPr>
      <w:rFonts w:ascii="Times New Roman" w:eastAsia="Times New Roman" w:hAnsi="Times New Roman" w:cs="Times New Roman"/>
    </w:rPr>
  </w:style>
  <w:style w:type="character" w:styleId="Hyperlink">
    <w:name w:val="Hyperlink"/>
    <w:basedOn w:val="DefaultParagraphFont"/>
    <w:uiPriority w:val="99"/>
    <w:unhideWhenUsed/>
    <w:rsid w:val="00BE2D0C"/>
    <w:rPr>
      <w:color w:val="0000FF" w:themeColor="hyperlink"/>
      <w:u w:val="single"/>
    </w:rPr>
  </w:style>
  <w:style w:type="paragraph" w:styleId="Header">
    <w:name w:val="header"/>
    <w:basedOn w:val="Normal"/>
    <w:link w:val="HeaderChar"/>
    <w:uiPriority w:val="99"/>
    <w:unhideWhenUsed/>
    <w:rsid w:val="00633BCD"/>
    <w:pPr>
      <w:tabs>
        <w:tab w:val="center" w:pos="4320"/>
        <w:tab w:val="right" w:pos="8640"/>
      </w:tabs>
      <w:spacing w:after="0" w:line="240" w:lineRule="auto"/>
    </w:pPr>
  </w:style>
  <w:style w:type="character" w:customStyle="1" w:styleId="HeaderChar">
    <w:name w:val="Header Char"/>
    <w:basedOn w:val="DefaultParagraphFont"/>
    <w:link w:val="Header"/>
    <w:uiPriority w:val="99"/>
    <w:rsid w:val="00633BCD"/>
    <w:rPr>
      <w:sz w:val="21"/>
    </w:rPr>
  </w:style>
  <w:style w:type="paragraph" w:styleId="Footer">
    <w:name w:val="footer"/>
    <w:basedOn w:val="Normal"/>
    <w:link w:val="FooterChar"/>
    <w:uiPriority w:val="99"/>
    <w:unhideWhenUsed/>
    <w:rsid w:val="00633BCD"/>
    <w:pPr>
      <w:tabs>
        <w:tab w:val="center" w:pos="4320"/>
        <w:tab w:val="right" w:pos="8640"/>
      </w:tabs>
      <w:spacing w:after="0" w:line="240" w:lineRule="auto"/>
    </w:pPr>
  </w:style>
  <w:style w:type="character" w:customStyle="1" w:styleId="FooterChar">
    <w:name w:val="Footer Char"/>
    <w:basedOn w:val="DefaultParagraphFont"/>
    <w:link w:val="Footer"/>
    <w:uiPriority w:val="99"/>
    <w:rsid w:val="00633BCD"/>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deolaoladunjoye720@gmail.com"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16/S0031-9422(99)00475-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3857</Words>
  <Characters>21986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Hassan Yesufu</cp:lastModifiedBy>
  <cp:revision>3</cp:revision>
  <dcterms:created xsi:type="dcterms:W3CDTF">2026-07-21T12:56:00Z</dcterms:created>
  <dcterms:modified xsi:type="dcterms:W3CDTF">2026-07-22T14:24:00Z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6e93f21d02314e43b1e17b45cdcb0f18</vt:lpwstr>
  </property>
</Properties>
</file>